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DEE3B4" w14:textId="77777777" w:rsidR="00FA0D4D" w:rsidRDefault="00FA0D4D">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ff3"/>
        <w:tblW w:w="3120" w:type="dxa"/>
        <w:tblInd w:w="6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30"/>
        <w:gridCol w:w="1890"/>
      </w:tblGrid>
      <w:tr w:rsidR="00FA0D4D" w14:paraId="0638C048" w14:textId="77777777">
        <w:trPr>
          <w:trHeight w:val="442"/>
        </w:trPr>
        <w:tc>
          <w:tcPr>
            <w:tcW w:w="1230" w:type="dxa"/>
            <w:tcBorders>
              <w:top w:val="single" w:sz="4" w:space="0" w:color="000000"/>
              <w:left w:val="single" w:sz="4" w:space="0" w:color="000000"/>
              <w:bottom w:val="nil"/>
              <w:right w:val="single" w:sz="4" w:space="0" w:color="000000"/>
            </w:tcBorders>
            <w:shd w:val="clear" w:color="auto" w:fill="0C5277"/>
            <w:vAlign w:val="center"/>
          </w:tcPr>
          <w:p w14:paraId="71D232ED" w14:textId="77777777" w:rsidR="00FA0D4D" w:rsidRDefault="00000000">
            <w:pPr>
              <w:tabs>
                <w:tab w:val="left" w:pos="3540"/>
              </w:tabs>
              <w:jc w:val="center"/>
              <w:rPr>
                <w:rFonts w:ascii="Rockwell" w:eastAsia="Rockwell" w:hAnsi="Rockwell" w:cs="Rockwell"/>
                <w:b/>
                <w:bCs/>
                <w:color w:val="0F243E"/>
                <w:sz w:val="22"/>
                <w:szCs w:val="22"/>
              </w:rPr>
            </w:pPr>
            <w:r>
              <w:rPr>
                <w:rFonts w:ascii="Rockwell" w:eastAsia="Rockwell" w:hAnsi="Rockwell" w:cs="Rockwell"/>
                <w:b/>
                <w:bCs/>
                <w:color w:val="FFFFFF"/>
                <w:sz w:val="22"/>
                <w:szCs w:val="22"/>
              </w:rPr>
              <w:t>FECHA:</w:t>
            </w:r>
          </w:p>
        </w:tc>
        <w:tc>
          <w:tcPr>
            <w:tcW w:w="1890" w:type="dxa"/>
            <w:tcBorders>
              <w:top w:val="single" w:sz="4" w:space="0" w:color="000000"/>
              <w:left w:val="single" w:sz="4" w:space="0" w:color="000000"/>
              <w:bottom w:val="nil"/>
              <w:right w:val="single" w:sz="4" w:space="0" w:color="000000"/>
            </w:tcBorders>
            <w:vAlign w:val="center"/>
          </w:tcPr>
          <w:p w14:paraId="27F89354" w14:textId="5C032B57" w:rsidR="00FA0D4D" w:rsidRDefault="00B07A29">
            <w:pPr>
              <w:tabs>
                <w:tab w:val="left" w:pos="3540"/>
              </w:tabs>
              <w:rPr>
                <w:rFonts w:ascii="Rockwell" w:eastAsia="Rockwell" w:hAnsi="Rockwell" w:cs="Rockwell"/>
                <w:b/>
                <w:bCs/>
                <w:color w:val="0F243E"/>
                <w:sz w:val="22"/>
                <w:szCs w:val="22"/>
              </w:rPr>
            </w:pPr>
            <w:r>
              <w:t>10</w:t>
            </w:r>
            <w:r w:rsidR="00000000">
              <w:t>/1</w:t>
            </w:r>
            <w:r>
              <w:t>2</w:t>
            </w:r>
            <w:r w:rsidR="00000000">
              <w:t>/2025</w:t>
            </w:r>
          </w:p>
        </w:tc>
      </w:tr>
    </w:tbl>
    <w:p w14:paraId="4A353790" w14:textId="77777777" w:rsidR="00FA0D4D" w:rsidRDefault="00FA0D4D">
      <w:pPr>
        <w:widowControl w:val="0"/>
        <w:pBdr>
          <w:top w:val="nil"/>
          <w:left w:val="nil"/>
          <w:bottom w:val="nil"/>
          <w:right w:val="nil"/>
          <w:between w:val="nil"/>
        </w:pBdr>
        <w:spacing w:line="276" w:lineRule="auto"/>
        <w:rPr>
          <w:rFonts w:ascii="Rockwell" w:eastAsia="Rockwell" w:hAnsi="Rockwell" w:cs="Rockwell"/>
          <w:b/>
          <w:bCs/>
          <w:color w:val="0F243E"/>
          <w:sz w:val="22"/>
          <w:szCs w:val="22"/>
        </w:rPr>
      </w:pPr>
    </w:p>
    <w:tbl>
      <w:tblPr>
        <w:tblStyle w:val="aff4"/>
        <w:tblW w:w="10916"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418"/>
        <w:gridCol w:w="567"/>
        <w:gridCol w:w="425"/>
        <w:gridCol w:w="7513"/>
      </w:tblGrid>
      <w:tr w:rsidR="00FA0D4D" w14:paraId="29B909ED" w14:textId="77777777">
        <w:trPr>
          <w:trHeight w:val="370"/>
        </w:trPr>
        <w:tc>
          <w:tcPr>
            <w:tcW w:w="10916" w:type="dxa"/>
            <w:gridSpan w:val="5"/>
            <w:tcBorders>
              <w:top w:val="single" w:sz="4" w:space="0" w:color="000000"/>
              <w:left w:val="single" w:sz="4" w:space="0" w:color="000000"/>
              <w:bottom w:val="single" w:sz="4" w:space="0" w:color="000000"/>
              <w:right w:val="single" w:sz="4" w:space="0" w:color="000000"/>
            </w:tcBorders>
            <w:shd w:val="clear" w:color="auto" w:fill="0C5277"/>
            <w:vAlign w:val="center"/>
          </w:tcPr>
          <w:p w14:paraId="76A16BFF" w14:textId="77777777" w:rsidR="00FA0D4D" w:rsidRDefault="00000000">
            <w:pPr>
              <w:pBdr>
                <w:top w:val="nil"/>
                <w:left w:val="nil"/>
                <w:bottom w:val="nil"/>
                <w:right w:val="nil"/>
                <w:between w:val="nil"/>
              </w:pBdr>
              <w:ind w:left="290"/>
              <w:jc w:val="center"/>
              <w:rPr>
                <w:rFonts w:ascii="Rockwell" w:eastAsia="Rockwell" w:hAnsi="Rockwell" w:cs="Rockwell"/>
                <w:b/>
                <w:bCs/>
                <w:color w:val="FFFFFF"/>
              </w:rPr>
            </w:pPr>
            <w:r>
              <w:rPr>
                <w:rFonts w:ascii="Rockwell" w:eastAsia="Rockwell" w:hAnsi="Rockwell" w:cs="Rockwell"/>
                <w:b/>
                <w:bCs/>
                <w:color w:val="FFFFFF"/>
              </w:rPr>
              <w:t>DATOS GENERALES</w:t>
            </w:r>
          </w:p>
        </w:tc>
      </w:tr>
      <w:tr w:rsidR="00FA0D4D" w14:paraId="3DF3A911" w14:textId="77777777">
        <w:trPr>
          <w:trHeight w:val="299"/>
        </w:trPr>
        <w:tc>
          <w:tcPr>
            <w:tcW w:w="1091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3ABE9F57" w14:textId="77777777" w:rsidR="00FA0D4D" w:rsidRDefault="00000000">
            <w:pPr>
              <w:rPr>
                <w:rFonts w:ascii="Rockwell" w:eastAsia="Rockwell" w:hAnsi="Rockwell" w:cs="Rockwell"/>
                <w:color w:val="000000"/>
              </w:rPr>
            </w:pPr>
            <w:r>
              <w:rPr>
                <w:rFonts w:ascii="Rockwell" w:eastAsia="Rockwell" w:hAnsi="Rockwell" w:cs="Rockwell"/>
                <w:b/>
                <w:bCs/>
                <w:color w:val="000000"/>
                <w:sz w:val="26"/>
                <w:szCs w:val="26"/>
              </w:rPr>
              <w:t>Lugar:</w:t>
            </w:r>
            <w:r>
              <w:rPr>
                <w:rFonts w:ascii="Rockwell" w:eastAsia="Rockwell" w:hAnsi="Rockwell" w:cs="Rockwell"/>
                <w:color w:val="000000"/>
              </w:rPr>
              <w:t xml:space="preserve">    DCSNS </w:t>
            </w:r>
            <w:r>
              <w:rPr>
                <w:rFonts w:ascii="MS Gothic" w:eastAsia="MS Gothic" w:hAnsi="MS Gothic" w:cs="MS Gothic"/>
                <w:color w:val="000000"/>
              </w:rPr>
              <w:t>☐</w:t>
            </w:r>
            <w:r>
              <w:rPr>
                <w:rFonts w:ascii="Rockwell" w:eastAsia="Rockwell" w:hAnsi="Rockwell" w:cs="Rockwell"/>
                <w:color w:val="000000"/>
              </w:rPr>
              <w:t xml:space="preserve">  SRS </w:t>
            </w:r>
            <w:r>
              <w:rPr>
                <w:rFonts w:ascii="MS Gothic" w:eastAsia="MS Gothic" w:hAnsi="MS Gothic" w:cs="MS Gothic"/>
                <w:color w:val="000000"/>
              </w:rPr>
              <w:t>☐</w:t>
            </w:r>
            <w:r>
              <w:rPr>
                <w:rFonts w:ascii="Rockwell" w:eastAsia="Rockwell" w:hAnsi="Rockwell" w:cs="Rockwell"/>
                <w:color w:val="000000"/>
              </w:rPr>
              <w:t xml:space="preserve">  Hospital </w:t>
            </w:r>
            <w:r>
              <w:rPr>
                <w:rFonts w:ascii="MS Gothic" w:eastAsia="MS Gothic" w:hAnsi="MS Gothic" w:cs="MS Gothic"/>
                <w:color w:val="000000"/>
              </w:rPr>
              <w:t>☒</w:t>
            </w:r>
            <w:r>
              <w:rPr>
                <w:rFonts w:ascii="Rockwell" w:eastAsia="Rockwell" w:hAnsi="Rockwell" w:cs="Rockwell"/>
                <w:color w:val="000000"/>
              </w:rPr>
              <w:t xml:space="preserve">  CPN </w:t>
            </w:r>
            <w:r>
              <w:rPr>
                <w:rFonts w:ascii="MS Gothic" w:eastAsia="MS Gothic" w:hAnsi="MS Gothic" w:cs="MS Gothic"/>
                <w:color w:val="000000"/>
              </w:rPr>
              <w:t>☐</w:t>
            </w:r>
            <w:r>
              <w:rPr>
                <w:rFonts w:ascii="Rockwell" w:eastAsia="Rockwell" w:hAnsi="Rockwell" w:cs="Rockwell"/>
                <w:color w:val="000000"/>
              </w:rPr>
              <w:t xml:space="preserve">     </w:t>
            </w:r>
          </w:p>
        </w:tc>
      </w:tr>
      <w:tr w:rsidR="00FA0D4D" w14:paraId="615D82EC" w14:textId="77777777">
        <w:trPr>
          <w:trHeight w:val="299"/>
        </w:trPr>
        <w:tc>
          <w:tcPr>
            <w:tcW w:w="2411" w:type="dxa"/>
            <w:gridSpan w:val="2"/>
            <w:tcBorders>
              <w:top w:val="single" w:sz="4" w:space="0" w:color="000000"/>
              <w:left w:val="single" w:sz="4" w:space="0" w:color="000000"/>
              <w:bottom w:val="single" w:sz="4" w:space="0" w:color="000000"/>
              <w:right w:val="nil"/>
            </w:tcBorders>
            <w:shd w:val="clear" w:color="auto" w:fill="auto"/>
            <w:vAlign w:val="center"/>
          </w:tcPr>
          <w:p w14:paraId="47A9D08F" w14:textId="77777777" w:rsidR="00FA0D4D" w:rsidRDefault="00000000">
            <w:pPr>
              <w:rPr>
                <w:rFonts w:ascii="Rockwell" w:eastAsia="Rockwell" w:hAnsi="Rockwell" w:cs="Rockwell"/>
                <w:b/>
                <w:bCs/>
                <w:color w:val="000000"/>
                <w:sz w:val="26"/>
                <w:szCs w:val="26"/>
              </w:rPr>
            </w:pPr>
            <w:r>
              <w:rPr>
                <w:rFonts w:ascii="Rockwell" w:eastAsia="Rockwell" w:hAnsi="Rockwell" w:cs="Rockwell"/>
                <w:color w:val="000000"/>
              </w:rPr>
              <w:t>*Nombre del lugar:</w:t>
            </w:r>
          </w:p>
        </w:tc>
        <w:tc>
          <w:tcPr>
            <w:tcW w:w="8505" w:type="dxa"/>
            <w:gridSpan w:val="3"/>
            <w:tcBorders>
              <w:top w:val="single" w:sz="4" w:space="0" w:color="000000"/>
              <w:left w:val="nil"/>
              <w:bottom w:val="single" w:sz="4" w:space="0" w:color="000000"/>
              <w:right w:val="single" w:sz="4" w:space="0" w:color="000000"/>
            </w:tcBorders>
            <w:shd w:val="clear" w:color="auto" w:fill="auto"/>
            <w:vAlign w:val="center"/>
          </w:tcPr>
          <w:p w14:paraId="58B2E08E" w14:textId="77777777" w:rsidR="00FA0D4D" w:rsidRDefault="00000000">
            <w:r>
              <w:t>Hospital Regional Taiwán 19 de marzo</w:t>
            </w:r>
          </w:p>
        </w:tc>
      </w:tr>
      <w:tr w:rsidR="00FA0D4D" w14:paraId="54EB2EC9" w14:textId="77777777">
        <w:trPr>
          <w:trHeight w:val="370"/>
        </w:trPr>
        <w:tc>
          <w:tcPr>
            <w:tcW w:w="993" w:type="dxa"/>
            <w:tcBorders>
              <w:top w:val="single" w:sz="4" w:space="0" w:color="000000"/>
              <w:left w:val="single" w:sz="4" w:space="0" w:color="000000"/>
              <w:bottom w:val="single" w:sz="4" w:space="0" w:color="000000"/>
              <w:right w:val="nil"/>
            </w:tcBorders>
            <w:shd w:val="clear" w:color="auto" w:fill="auto"/>
            <w:vAlign w:val="center"/>
          </w:tcPr>
          <w:p w14:paraId="5B7481AE" w14:textId="77777777" w:rsidR="00FA0D4D" w:rsidRDefault="00000000">
            <w:pPr>
              <w:rPr>
                <w:rFonts w:ascii="Rockwell" w:eastAsia="Rockwell" w:hAnsi="Rockwell" w:cs="Rockwell"/>
              </w:rPr>
            </w:pPr>
            <w:r>
              <w:rPr>
                <w:rFonts w:ascii="Rockwell" w:eastAsia="Rockwell" w:hAnsi="Rockwell" w:cs="Rockwell"/>
                <w:b/>
                <w:bCs/>
                <w:sz w:val="26"/>
                <w:szCs w:val="26"/>
              </w:rPr>
              <w:t>Área</w:t>
            </w:r>
            <w:r>
              <w:rPr>
                <w:rFonts w:ascii="Rockwell" w:eastAsia="Rockwell" w:hAnsi="Rockwell" w:cs="Rockwell"/>
              </w:rPr>
              <w:t>:</w:t>
            </w:r>
          </w:p>
        </w:tc>
        <w:tc>
          <w:tcPr>
            <w:tcW w:w="9923" w:type="dxa"/>
            <w:gridSpan w:val="4"/>
            <w:tcBorders>
              <w:top w:val="single" w:sz="4" w:space="0" w:color="000000"/>
              <w:left w:val="nil"/>
              <w:bottom w:val="single" w:sz="4" w:space="0" w:color="000000"/>
              <w:right w:val="single" w:sz="4" w:space="0" w:color="000000"/>
            </w:tcBorders>
            <w:shd w:val="clear" w:color="auto" w:fill="auto"/>
            <w:vAlign w:val="center"/>
          </w:tcPr>
          <w:p w14:paraId="1F9FEA45" w14:textId="77777777" w:rsidR="00FA0D4D" w:rsidRDefault="00000000">
            <w:r>
              <w:t>Planificación y Desarrollo</w:t>
            </w:r>
          </w:p>
        </w:tc>
      </w:tr>
      <w:tr w:rsidR="00FA0D4D" w14:paraId="5E5D3EFA" w14:textId="77777777">
        <w:trPr>
          <w:trHeight w:val="370"/>
        </w:trPr>
        <w:tc>
          <w:tcPr>
            <w:tcW w:w="3403" w:type="dxa"/>
            <w:gridSpan w:val="4"/>
            <w:tcBorders>
              <w:top w:val="single" w:sz="4" w:space="0" w:color="000000"/>
              <w:left w:val="single" w:sz="4" w:space="0" w:color="000000"/>
              <w:bottom w:val="single" w:sz="4" w:space="0" w:color="000000"/>
              <w:right w:val="nil"/>
            </w:tcBorders>
            <w:shd w:val="clear" w:color="auto" w:fill="auto"/>
            <w:vAlign w:val="center"/>
          </w:tcPr>
          <w:p w14:paraId="5D6EA711" w14:textId="77777777" w:rsidR="00FA0D4D" w:rsidRDefault="00000000">
            <w:pPr>
              <w:pBdr>
                <w:top w:val="nil"/>
                <w:left w:val="nil"/>
                <w:bottom w:val="nil"/>
                <w:right w:val="nil"/>
                <w:between w:val="nil"/>
              </w:pBdr>
              <w:rPr>
                <w:rFonts w:ascii="Rockwell" w:eastAsia="Rockwell" w:hAnsi="Rockwell" w:cs="Rockwell"/>
                <w:b/>
                <w:bCs/>
                <w:color w:val="000000"/>
                <w:sz w:val="26"/>
                <w:szCs w:val="26"/>
              </w:rPr>
            </w:pPr>
            <w:r>
              <w:rPr>
                <w:rFonts w:ascii="Rockwell" w:eastAsia="Rockwell" w:hAnsi="Rockwell" w:cs="Rockwell"/>
                <w:b/>
                <w:bCs/>
                <w:color w:val="000000"/>
                <w:sz w:val="26"/>
                <w:szCs w:val="26"/>
              </w:rPr>
              <w:t>Nombre de la Actividad:</w:t>
            </w:r>
          </w:p>
        </w:tc>
        <w:tc>
          <w:tcPr>
            <w:tcW w:w="7513" w:type="dxa"/>
            <w:tcBorders>
              <w:top w:val="single" w:sz="4" w:space="0" w:color="000000"/>
              <w:left w:val="nil"/>
              <w:bottom w:val="single" w:sz="4" w:space="0" w:color="000000"/>
              <w:right w:val="single" w:sz="4" w:space="0" w:color="000000"/>
            </w:tcBorders>
            <w:shd w:val="clear" w:color="auto" w:fill="auto"/>
            <w:vAlign w:val="center"/>
          </w:tcPr>
          <w:p w14:paraId="790C0D0A" w14:textId="77777777" w:rsidR="00FA0D4D" w:rsidRDefault="00000000">
            <w:pPr>
              <w:rPr>
                <w:rFonts w:ascii="Rockwell" w:eastAsia="Rockwell" w:hAnsi="Rockwell" w:cs="Rockwell"/>
                <w:b/>
                <w:bCs/>
                <w:color w:val="000000"/>
                <w:sz w:val="26"/>
                <w:szCs w:val="26"/>
              </w:rPr>
            </w:pPr>
            <w:r>
              <w:t>Autoevaluación del POA.</w:t>
            </w:r>
          </w:p>
        </w:tc>
      </w:tr>
      <w:tr w:rsidR="00FA0D4D" w14:paraId="5F80A24C" w14:textId="77777777">
        <w:trPr>
          <w:trHeight w:val="370"/>
        </w:trPr>
        <w:tc>
          <w:tcPr>
            <w:tcW w:w="2978" w:type="dxa"/>
            <w:gridSpan w:val="3"/>
            <w:tcBorders>
              <w:top w:val="single" w:sz="4" w:space="0" w:color="000000"/>
              <w:left w:val="single" w:sz="4" w:space="0" w:color="000000"/>
              <w:bottom w:val="single" w:sz="4" w:space="0" w:color="000000"/>
              <w:right w:val="nil"/>
            </w:tcBorders>
            <w:shd w:val="clear" w:color="auto" w:fill="auto"/>
            <w:vAlign w:val="center"/>
          </w:tcPr>
          <w:p w14:paraId="3A45F0E3" w14:textId="77777777" w:rsidR="00FA0D4D" w:rsidRDefault="00000000">
            <w:pPr>
              <w:pBdr>
                <w:top w:val="nil"/>
                <w:left w:val="nil"/>
                <w:bottom w:val="nil"/>
                <w:right w:val="nil"/>
                <w:between w:val="nil"/>
              </w:pBdr>
              <w:rPr>
                <w:rFonts w:ascii="Rockwell" w:eastAsia="Rockwell" w:hAnsi="Rockwell" w:cs="Rockwell"/>
                <w:b/>
                <w:bCs/>
                <w:color w:val="000000"/>
                <w:sz w:val="26"/>
                <w:szCs w:val="26"/>
              </w:rPr>
            </w:pPr>
            <w:r>
              <w:rPr>
                <w:rFonts w:ascii="Rockwell" w:eastAsia="Rockwell" w:hAnsi="Rockwell" w:cs="Rockwell"/>
                <w:b/>
                <w:bCs/>
                <w:color w:val="000000"/>
                <w:sz w:val="26"/>
                <w:szCs w:val="26"/>
              </w:rPr>
              <w:t xml:space="preserve">Código POA </w:t>
            </w:r>
            <w:r>
              <w:rPr>
                <w:rFonts w:ascii="Rockwell" w:eastAsia="Rockwell" w:hAnsi="Rockwell" w:cs="Rockwell"/>
                <w:b/>
                <w:bCs/>
                <w:color w:val="000000"/>
              </w:rPr>
              <w:t>(</w:t>
            </w:r>
            <w:r>
              <w:rPr>
                <w:rFonts w:ascii="Rockwell" w:eastAsia="Rockwell" w:hAnsi="Rockwell" w:cs="Rockwell"/>
                <w:b/>
                <w:bCs/>
                <w:color w:val="000000"/>
                <w:sz w:val="18"/>
                <w:szCs w:val="18"/>
              </w:rPr>
              <w:t>Si aplica</w:t>
            </w:r>
            <w:r>
              <w:rPr>
                <w:rFonts w:ascii="Rockwell" w:eastAsia="Rockwell" w:hAnsi="Rockwell" w:cs="Rockwell"/>
                <w:b/>
                <w:bCs/>
                <w:color w:val="000000"/>
              </w:rPr>
              <w:t>):</w:t>
            </w:r>
          </w:p>
        </w:tc>
        <w:tc>
          <w:tcPr>
            <w:tcW w:w="7938" w:type="dxa"/>
            <w:gridSpan w:val="2"/>
            <w:tcBorders>
              <w:top w:val="single" w:sz="4" w:space="0" w:color="000000"/>
              <w:left w:val="nil"/>
              <w:bottom w:val="single" w:sz="4" w:space="0" w:color="000000"/>
              <w:right w:val="single" w:sz="4" w:space="0" w:color="000000"/>
            </w:tcBorders>
            <w:shd w:val="clear" w:color="auto" w:fill="auto"/>
            <w:vAlign w:val="center"/>
          </w:tcPr>
          <w:p w14:paraId="2836F5CE" w14:textId="77777777" w:rsidR="00FA0D4D" w:rsidRDefault="00000000">
            <w:pPr>
              <w:rPr>
                <w:rFonts w:ascii="Rockwell" w:eastAsia="Rockwell" w:hAnsi="Rockwell" w:cs="Rockwell"/>
                <w:b/>
                <w:bCs/>
                <w:color w:val="000000"/>
                <w:sz w:val="26"/>
                <w:szCs w:val="26"/>
              </w:rPr>
            </w:pPr>
            <w:r>
              <w:t>HRT 3.7.1.4.01</w:t>
            </w:r>
          </w:p>
        </w:tc>
      </w:tr>
      <w:tr w:rsidR="00FA0D4D" w14:paraId="5E3D00D1" w14:textId="77777777">
        <w:trPr>
          <w:trHeight w:val="370"/>
        </w:trPr>
        <w:tc>
          <w:tcPr>
            <w:tcW w:w="10916" w:type="dxa"/>
            <w:gridSpan w:val="5"/>
            <w:tcBorders>
              <w:top w:val="single" w:sz="4" w:space="0" w:color="000000"/>
              <w:left w:val="nil"/>
              <w:bottom w:val="single" w:sz="4" w:space="0" w:color="000000"/>
              <w:right w:val="nil"/>
            </w:tcBorders>
            <w:shd w:val="clear" w:color="auto" w:fill="auto"/>
            <w:vAlign w:val="center"/>
          </w:tcPr>
          <w:p w14:paraId="64DF1BDE" w14:textId="77777777" w:rsidR="00FA0D4D" w:rsidRDefault="00FA0D4D">
            <w:pPr>
              <w:pBdr>
                <w:top w:val="nil"/>
                <w:left w:val="nil"/>
                <w:bottom w:val="nil"/>
                <w:right w:val="nil"/>
                <w:between w:val="nil"/>
              </w:pBdr>
              <w:rPr>
                <w:rFonts w:ascii="Rockwell" w:eastAsia="Rockwell" w:hAnsi="Rockwell" w:cs="Rockwell"/>
                <w:b/>
                <w:bCs/>
                <w:color w:val="000000"/>
                <w:sz w:val="26"/>
                <w:szCs w:val="26"/>
              </w:rPr>
            </w:pPr>
          </w:p>
        </w:tc>
      </w:tr>
      <w:tr w:rsidR="00FA0D4D" w14:paraId="133A04D0" w14:textId="77777777">
        <w:trPr>
          <w:trHeight w:val="420"/>
        </w:trPr>
        <w:tc>
          <w:tcPr>
            <w:tcW w:w="10916" w:type="dxa"/>
            <w:gridSpan w:val="5"/>
            <w:tcBorders>
              <w:top w:val="single" w:sz="4" w:space="0" w:color="000000"/>
              <w:left w:val="single" w:sz="4" w:space="0" w:color="000000"/>
              <w:bottom w:val="single" w:sz="4" w:space="0" w:color="000000"/>
              <w:right w:val="single" w:sz="4" w:space="0" w:color="000000"/>
            </w:tcBorders>
            <w:shd w:val="clear" w:color="auto" w:fill="0C5277"/>
            <w:vAlign w:val="center"/>
          </w:tcPr>
          <w:p w14:paraId="655544B7" w14:textId="77777777" w:rsidR="00FA0D4D" w:rsidRDefault="00000000">
            <w:pPr>
              <w:pBdr>
                <w:top w:val="nil"/>
                <w:left w:val="nil"/>
                <w:bottom w:val="nil"/>
                <w:right w:val="nil"/>
                <w:between w:val="nil"/>
              </w:pBdr>
              <w:ind w:left="290"/>
              <w:jc w:val="center"/>
              <w:rPr>
                <w:rFonts w:ascii="Rockwell" w:eastAsia="Rockwell" w:hAnsi="Rockwell" w:cs="Rockwell"/>
                <w:b/>
                <w:bCs/>
                <w:color w:val="FFFFFF"/>
                <w:sz w:val="30"/>
                <w:szCs w:val="30"/>
              </w:rPr>
            </w:pPr>
            <w:r>
              <w:rPr>
                <w:rFonts w:ascii="Rockwell" w:eastAsia="Rockwell" w:hAnsi="Rockwell" w:cs="Rockwell"/>
                <w:b/>
                <w:bCs/>
                <w:color w:val="FFFFFF"/>
              </w:rPr>
              <w:t>INTRODUCCIÓN</w:t>
            </w:r>
          </w:p>
        </w:tc>
      </w:tr>
      <w:tr w:rsidR="00FA0D4D" w14:paraId="67D889F3" w14:textId="77777777">
        <w:trPr>
          <w:trHeight w:val="504"/>
        </w:trPr>
        <w:tc>
          <w:tcPr>
            <w:tcW w:w="10916" w:type="dxa"/>
            <w:gridSpan w:val="5"/>
            <w:tcBorders>
              <w:top w:val="single" w:sz="4" w:space="0" w:color="000000"/>
              <w:left w:val="single" w:sz="4" w:space="0" w:color="000000"/>
              <w:bottom w:val="single" w:sz="4" w:space="0" w:color="000000"/>
              <w:right w:val="single" w:sz="4" w:space="0" w:color="000000"/>
            </w:tcBorders>
            <w:vAlign w:val="center"/>
          </w:tcPr>
          <w:p w14:paraId="33D75B5B" w14:textId="77777777" w:rsidR="00FA0D4D" w:rsidRDefault="00000000">
            <w:pPr>
              <w:pBdr>
                <w:top w:val="nil"/>
                <w:left w:val="nil"/>
                <w:bottom w:val="nil"/>
                <w:right w:val="nil"/>
                <w:between w:val="nil"/>
              </w:pBdr>
              <w:spacing w:line="276" w:lineRule="auto"/>
              <w:jc w:val="both"/>
              <w:rPr>
                <w:sz w:val="26"/>
                <w:szCs w:val="26"/>
              </w:rPr>
            </w:pPr>
            <w:r>
              <w:rPr>
                <w:sz w:val="26"/>
                <w:szCs w:val="26"/>
              </w:rPr>
              <w:t>El presente informe consolida los resultados de la sesión de autoevaluación institucional correspondiente al tercer trimestre del año 2025, desarrollada a las 10:00 a.m. bajo la conducción de la Dirección General y el Departamento de Planificación. El propósito central de esta sesión fue revisar el avance de las actividades programadas, identificar fortalezas y debilidades en la ejecución y establecer acciones correctivas para garantizar el cumplimiento eficiente del Plan Operativo Anual (POA).</w:t>
            </w:r>
          </w:p>
        </w:tc>
      </w:tr>
    </w:tbl>
    <w:p w14:paraId="79310B96" w14:textId="77777777" w:rsidR="00FA0D4D" w:rsidRDefault="00FA0D4D">
      <w:pPr>
        <w:spacing w:line="168" w:lineRule="auto"/>
        <w:jc w:val="center"/>
        <w:rPr>
          <w:rFonts w:ascii="Rockwell" w:eastAsia="Rockwell" w:hAnsi="Rockwell" w:cs="Rockwell"/>
        </w:rPr>
      </w:pPr>
    </w:p>
    <w:tbl>
      <w:tblPr>
        <w:tblStyle w:val="aff5"/>
        <w:tblW w:w="10916"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916"/>
      </w:tblGrid>
      <w:tr w:rsidR="00FA0D4D" w14:paraId="4B8581E5" w14:textId="77777777">
        <w:trPr>
          <w:trHeight w:val="366"/>
        </w:trPr>
        <w:tc>
          <w:tcPr>
            <w:tcW w:w="10916" w:type="dxa"/>
            <w:shd w:val="clear" w:color="auto" w:fill="0C5277"/>
            <w:vAlign w:val="center"/>
          </w:tcPr>
          <w:p w14:paraId="6996714D" w14:textId="77777777" w:rsidR="00FA0D4D" w:rsidRDefault="00000000">
            <w:pPr>
              <w:pBdr>
                <w:top w:val="nil"/>
                <w:left w:val="nil"/>
                <w:bottom w:val="nil"/>
                <w:right w:val="nil"/>
                <w:between w:val="nil"/>
              </w:pBdr>
              <w:ind w:left="289"/>
              <w:jc w:val="center"/>
              <w:rPr>
                <w:rFonts w:ascii="Rockwell" w:eastAsia="Rockwell" w:hAnsi="Rockwell" w:cs="Rockwell"/>
                <w:b/>
                <w:bCs/>
                <w:color w:val="FFFFFF"/>
              </w:rPr>
            </w:pPr>
            <w:r>
              <w:rPr>
                <w:rFonts w:ascii="Rockwell" w:eastAsia="Rockwell" w:hAnsi="Rockwell" w:cs="Rockwell"/>
                <w:b/>
                <w:bCs/>
                <w:color w:val="FFFFFF"/>
              </w:rPr>
              <w:t>OBJETIVO DEL INFORME</w:t>
            </w:r>
          </w:p>
        </w:tc>
      </w:tr>
      <w:tr w:rsidR="00FA0D4D" w14:paraId="17C9FF43" w14:textId="77777777">
        <w:trPr>
          <w:trHeight w:val="589"/>
        </w:trPr>
        <w:tc>
          <w:tcPr>
            <w:tcW w:w="10916" w:type="dxa"/>
          </w:tcPr>
          <w:p w14:paraId="5BD50FBF" w14:textId="77777777" w:rsidR="00FA0D4D" w:rsidRDefault="00000000">
            <w:pPr>
              <w:spacing w:after="120" w:line="276" w:lineRule="auto"/>
              <w:jc w:val="both"/>
              <w:rPr>
                <w:sz w:val="26"/>
                <w:szCs w:val="26"/>
              </w:rPr>
            </w:pPr>
            <w:r>
              <w:rPr>
                <w:sz w:val="26"/>
                <w:szCs w:val="26"/>
              </w:rPr>
              <w:t>Evaluar el nivel de avance y efectividad de las actividades ejecutadas por los departamentos durante el tercer trimestre de 2025, identificar áreas críticas que requieren intervención y definir acciones que permitan mejorar el desempeño institucional en el siguiente período.</w:t>
            </w:r>
          </w:p>
        </w:tc>
      </w:tr>
      <w:tr w:rsidR="00FA0D4D" w14:paraId="61E8E8A4" w14:textId="77777777">
        <w:trPr>
          <w:trHeight w:val="342"/>
        </w:trPr>
        <w:tc>
          <w:tcPr>
            <w:tcW w:w="10916" w:type="dxa"/>
            <w:tcBorders>
              <w:left w:val="nil"/>
              <w:bottom w:val="single" w:sz="4" w:space="0" w:color="000000"/>
              <w:right w:val="nil"/>
            </w:tcBorders>
            <w:vAlign w:val="center"/>
          </w:tcPr>
          <w:p w14:paraId="3B525DE5" w14:textId="77777777" w:rsidR="00FA0D4D" w:rsidRDefault="00FA0D4D">
            <w:pPr>
              <w:spacing w:line="168" w:lineRule="auto"/>
              <w:rPr>
                <w:rFonts w:ascii="Rockwell" w:eastAsia="Rockwell" w:hAnsi="Rockwell" w:cs="Rockwell"/>
                <w:sz w:val="16"/>
                <w:szCs w:val="16"/>
              </w:rPr>
            </w:pPr>
          </w:p>
        </w:tc>
      </w:tr>
      <w:tr w:rsidR="00FA0D4D" w14:paraId="720F2FC6" w14:textId="77777777">
        <w:trPr>
          <w:trHeight w:val="441"/>
        </w:trPr>
        <w:tc>
          <w:tcPr>
            <w:tcW w:w="10916" w:type="dxa"/>
            <w:tcBorders>
              <w:left w:val="nil"/>
              <w:bottom w:val="single" w:sz="4" w:space="0" w:color="000000"/>
              <w:right w:val="nil"/>
            </w:tcBorders>
            <w:shd w:val="clear" w:color="auto" w:fill="0C5277"/>
            <w:vAlign w:val="center"/>
          </w:tcPr>
          <w:p w14:paraId="3F31BC3C" w14:textId="77777777" w:rsidR="00FA0D4D" w:rsidRDefault="00000000">
            <w:pPr>
              <w:jc w:val="center"/>
              <w:rPr>
                <w:rFonts w:ascii="Rockwell" w:eastAsia="Rockwell" w:hAnsi="Rockwell" w:cs="Rockwell"/>
                <w:sz w:val="16"/>
                <w:szCs w:val="16"/>
              </w:rPr>
            </w:pPr>
            <w:r>
              <w:rPr>
                <w:rFonts w:ascii="Rockwell" w:eastAsia="Rockwell" w:hAnsi="Rockwell" w:cs="Rockwell"/>
                <w:b/>
                <w:bCs/>
                <w:color w:val="FFFFFF"/>
              </w:rPr>
              <w:t>METODOLOGÍA (</w:t>
            </w:r>
            <w:r>
              <w:rPr>
                <w:rFonts w:ascii="Rockwell" w:eastAsia="Rockwell" w:hAnsi="Rockwell" w:cs="Rockwell"/>
                <w:b/>
                <w:bCs/>
                <w:color w:val="FFFFFF"/>
                <w:sz w:val="18"/>
                <w:szCs w:val="18"/>
              </w:rPr>
              <w:t>Si aplica</w:t>
            </w:r>
            <w:r>
              <w:rPr>
                <w:rFonts w:ascii="Rockwell" w:eastAsia="Rockwell" w:hAnsi="Rockwell" w:cs="Rockwell"/>
                <w:b/>
                <w:bCs/>
                <w:color w:val="FFFFFF"/>
              </w:rPr>
              <w:t>)</w:t>
            </w:r>
          </w:p>
        </w:tc>
      </w:tr>
      <w:tr w:rsidR="00FA0D4D" w14:paraId="1F32E125" w14:textId="77777777">
        <w:trPr>
          <w:trHeight w:val="1215"/>
        </w:trPr>
        <w:tc>
          <w:tcPr>
            <w:tcW w:w="10916" w:type="dxa"/>
            <w:tcBorders>
              <w:left w:val="single" w:sz="4" w:space="0" w:color="000000"/>
              <w:bottom w:val="single" w:sz="4" w:space="0" w:color="000000"/>
              <w:right w:val="single" w:sz="4" w:space="0" w:color="000000"/>
            </w:tcBorders>
            <w:vAlign w:val="center"/>
          </w:tcPr>
          <w:p w14:paraId="4BA8A0EF" w14:textId="77777777" w:rsidR="00FA0D4D" w:rsidRDefault="00000000">
            <w:pPr>
              <w:spacing w:line="276" w:lineRule="auto"/>
              <w:rPr>
                <w:sz w:val="26"/>
                <w:szCs w:val="26"/>
              </w:rPr>
            </w:pPr>
            <w:r>
              <w:rPr>
                <w:sz w:val="26"/>
                <w:szCs w:val="26"/>
              </w:rPr>
              <w:t>Análisis comparativo entre actividades ejecutadas, reprogramadas y no iniciadas.</w:t>
            </w:r>
          </w:p>
        </w:tc>
      </w:tr>
      <w:tr w:rsidR="00FA0D4D" w14:paraId="15AF458D" w14:textId="77777777">
        <w:trPr>
          <w:trHeight w:val="262"/>
        </w:trPr>
        <w:tc>
          <w:tcPr>
            <w:tcW w:w="10916" w:type="dxa"/>
            <w:tcBorders>
              <w:left w:val="nil"/>
              <w:bottom w:val="single" w:sz="4" w:space="0" w:color="000000"/>
              <w:right w:val="nil"/>
            </w:tcBorders>
            <w:vAlign w:val="center"/>
          </w:tcPr>
          <w:p w14:paraId="7DF406A1" w14:textId="77777777" w:rsidR="00FA0D4D" w:rsidRDefault="00FA0D4D">
            <w:pPr>
              <w:spacing w:line="168" w:lineRule="auto"/>
              <w:rPr>
                <w:rFonts w:ascii="Rockwell" w:eastAsia="Rockwell" w:hAnsi="Rockwell" w:cs="Rockwell"/>
                <w:sz w:val="16"/>
                <w:szCs w:val="16"/>
              </w:rPr>
            </w:pPr>
          </w:p>
        </w:tc>
      </w:tr>
      <w:tr w:rsidR="00FA0D4D" w14:paraId="67156C0E" w14:textId="77777777">
        <w:trPr>
          <w:trHeight w:val="441"/>
        </w:trPr>
        <w:tc>
          <w:tcPr>
            <w:tcW w:w="10916" w:type="dxa"/>
            <w:tcBorders>
              <w:left w:val="single" w:sz="4" w:space="0" w:color="000000"/>
              <w:right w:val="single" w:sz="4" w:space="0" w:color="000000"/>
            </w:tcBorders>
            <w:shd w:val="clear" w:color="auto" w:fill="0C5277"/>
            <w:vAlign w:val="center"/>
          </w:tcPr>
          <w:p w14:paraId="000BFDD4" w14:textId="77777777" w:rsidR="00FA0D4D" w:rsidRDefault="00000000">
            <w:pPr>
              <w:jc w:val="center"/>
              <w:rPr>
                <w:rFonts w:ascii="Rockwell" w:eastAsia="Rockwell" w:hAnsi="Rockwell" w:cs="Rockwell"/>
                <w:sz w:val="16"/>
                <w:szCs w:val="16"/>
              </w:rPr>
            </w:pPr>
            <w:r>
              <w:rPr>
                <w:rFonts w:ascii="Rockwell" w:eastAsia="Rockwell" w:hAnsi="Rockwell" w:cs="Rockwell"/>
                <w:b/>
                <w:bCs/>
                <w:color w:val="FFFFFF"/>
              </w:rPr>
              <w:t>DESARROLLO / HALLAZGOS</w:t>
            </w:r>
          </w:p>
        </w:tc>
      </w:tr>
      <w:tr w:rsidR="00FA0D4D" w14:paraId="5164FD6B" w14:textId="77777777">
        <w:trPr>
          <w:trHeight w:val="441"/>
        </w:trPr>
        <w:tc>
          <w:tcPr>
            <w:tcW w:w="10916" w:type="dxa"/>
            <w:tcBorders>
              <w:left w:val="single" w:sz="4" w:space="0" w:color="000000"/>
              <w:right w:val="single" w:sz="4" w:space="0" w:color="000000"/>
            </w:tcBorders>
            <w:shd w:val="clear" w:color="auto" w:fill="auto"/>
            <w:vAlign w:val="center"/>
          </w:tcPr>
          <w:p w14:paraId="3BDF3E36" w14:textId="765ED67A" w:rsidR="00FA0D4D" w:rsidRDefault="00000000" w:rsidP="00B07A29">
            <w:pPr>
              <w:pStyle w:val="Ttulo3"/>
              <w:keepNext w:val="0"/>
              <w:keepLines w:val="0"/>
              <w:numPr>
                <w:ilvl w:val="0"/>
                <w:numId w:val="5"/>
              </w:numPr>
              <w:spacing w:line="276" w:lineRule="auto"/>
              <w:rPr>
                <w:sz w:val="26"/>
                <w:szCs w:val="26"/>
              </w:rPr>
            </w:pPr>
            <w:bookmarkStart w:id="0" w:name="_heading=h.rm09tyhwe2er" w:colFirst="0" w:colLast="0"/>
            <w:bookmarkEnd w:id="0"/>
            <w:r>
              <w:rPr>
                <w:sz w:val="26"/>
                <w:szCs w:val="26"/>
              </w:rPr>
              <w:t>Avances por Departamentos</w:t>
            </w:r>
          </w:p>
          <w:p w14:paraId="7E627F05" w14:textId="77777777" w:rsidR="00FA0D4D" w:rsidRDefault="00000000">
            <w:pPr>
              <w:spacing w:before="240" w:after="240" w:line="276" w:lineRule="auto"/>
              <w:rPr>
                <w:sz w:val="26"/>
                <w:szCs w:val="26"/>
              </w:rPr>
            </w:pPr>
            <w:r>
              <w:rPr>
                <w:sz w:val="26"/>
                <w:szCs w:val="26"/>
              </w:rPr>
              <w:t xml:space="preserve">Durante la sesión se presentó el balance general del trimestre, destacándose los departamentos con </w:t>
            </w:r>
            <w:r>
              <w:rPr>
                <w:b/>
                <w:bCs/>
                <w:sz w:val="26"/>
                <w:szCs w:val="26"/>
              </w:rPr>
              <w:t>100% de cumplimiento</w:t>
            </w:r>
            <w:r>
              <w:rPr>
                <w:sz w:val="26"/>
                <w:szCs w:val="26"/>
              </w:rPr>
              <w:t>, evidenciando planificación adecuada y seguimiento continuo:</w:t>
            </w:r>
          </w:p>
          <w:p w14:paraId="23AFE81E" w14:textId="77777777" w:rsidR="00FA0D4D" w:rsidRDefault="00000000">
            <w:pPr>
              <w:numPr>
                <w:ilvl w:val="0"/>
                <w:numId w:val="3"/>
              </w:numPr>
              <w:spacing w:before="240" w:line="276" w:lineRule="auto"/>
              <w:rPr>
                <w:sz w:val="26"/>
                <w:szCs w:val="26"/>
              </w:rPr>
            </w:pPr>
            <w:r>
              <w:rPr>
                <w:sz w:val="26"/>
                <w:szCs w:val="26"/>
              </w:rPr>
              <w:t>Auditoría Médica</w:t>
            </w:r>
          </w:p>
          <w:p w14:paraId="2E687FC5" w14:textId="77777777" w:rsidR="00FA0D4D" w:rsidRDefault="00000000">
            <w:pPr>
              <w:numPr>
                <w:ilvl w:val="0"/>
                <w:numId w:val="3"/>
              </w:numPr>
              <w:spacing w:line="276" w:lineRule="auto"/>
              <w:rPr>
                <w:sz w:val="26"/>
                <w:szCs w:val="26"/>
              </w:rPr>
            </w:pPr>
            <w:r>
              <w:rPr>
                <w:sz w:val="26"/>
                <w:szCs w:val="26"/>
              </w:rPr>
              <w:t>SAI (VIH)</w:t>
            </w:r>
          </w:p>
          <w:p w14:paraId="79FA7D3B" w14:textId="77777777" w:rsidR="00FA0D4D" w:rsidRDefault="00000000">
            <w:pPr>
              <w:numPr>
                <w:ilvl w:val="0"/>
                <w:numId w:val="3"/>
              </w:numPr>
              <w:spacing w:line="276" w:lineRule="auto"/>
              <w:rPr>
                <w:sz w:val="26"/>
                <w:szCs w:val="26"/>
              </w:rPr>
            </w:pPr>
            <w:r>
              <w:rPr>
                <w:sz w:val="26"/>
                <w:szCs w:val="26"/>
              </w:rPr>
              <w:lastRenderedPageBreak/>
              <w:t>Bioseguridad</w:t>
            </w:r>
          </w:p>
          <w:p w14:paraId="19A34A61" w14:textId="77777777" w:rsidR="00FA0D4D" w:rsidRDefault="00000000">
            <w:pPr>
              <w:numPr>
                <w:ilvl w:val="0"/>
                <w:numId w:val="3"/>
              </w:numPr>
              <w:spacing w:line="276" w:lineRule="auto"/>
              <w:rPr>
                <w:sz w:val="26"/>
                <w:szCs w:val="26"/>
              </w:rPr>
            </w:pPr>
            <w:r>
              <w:rPr>
                <w:sz w:val="26"/>
                <w:szCs w:val="26"/>
              </w:rPr>
              <w:t>Subdirección Médica</w:t>
            </w:r>
          </w:p>
          <w:p w14:paraId="28692E27" w14:textId="77777777" w:rsidR="00FA0D4D" w:rsidRDefault="00000000">
            <w:pPr>
              <w:numPr>
                <w:ilvl w:val="0"/>
                <w:numId w:val="3"/>
              </w:numPr>
              <w:spacing w:line="276" w:lineRule="auto"/>
              <w:rPr>
                <w:sz w:val="26"/>
                <w:szCs w:val="26"/>
              </w:rPr>
            </w:pPr>
            <w:r>
              <w:rPr>
                <w:sz w:val="26"/>
                <w:szCs w:val="26"/>
              </w:rPr>
              <w:t>Facturación</w:t>
            </w:r>
          </w:p>
          <w:p w14:paraId="661C4982" w14:textId="77777777" w:rsidR="00FA0D4D" w:rsidRDefault="00000000">
            <w:pPr>
              <w:numPr>
                <w:ilvl w:val="0"/>
                <w:numId w:val="3"/>
              </w:numPr>
              <w:spacing w:after="240" w:line="276" w:lineRule="auto"/>
              <w:rPr>
                <w:sz w:val="26"/>
                <w:szCs w:val="26"/>
              </w:rPr>
            </w:pPr>
            <w:r>
              <w:rPr>
                <w:sz w:val="26"/>
                <w:szCs w:val="26"/>
              </w:rPr>
              <w:t>Tecnología</w:t>
            </w:r>
          </w:p>
          <w:p w14:paraId="663CFB08" w14:textId="77777777" w:rsidR="00FA0D4D" w:rsidRDefault="00000000">
            <w:pPr>
              <w:spacing w:before="240" w:after="240" w:line="276" w:lineRule="auto"/>
              <w:rPr>
                <w:sz w:val="26"/>
                <w:szCs w:val="26"/>
              </w:rPr>
            </w:pPr>
            <w:r>
              <w:rPr>
                <w:sz w:val="26"/>
                <w:szCs w:val="26"/>
              </w:rPr>
              <w:t>Estos resultados reflejan un desempeño óptimo y una ejecución oportuna de las acciones programadas.</w:t>
            </w:r>
          </w:p>
          <w:p w14:paraId="4C7756F2" w14:textId="77777777" w:rsidR="00FA0D4D" w:rsidRDefault="00000000">
            <w:pPr>
              <w:spacing w:before="240" w:after="240" w:line="276" w:lineRule="auto"/>
              <w:rPr>
                <w:sz w:val="26"/>
                <w:szCs w:val="26"/>
              </w:rPr>
            </w:pPr>
            <w:r>
              <w:rPr>
                <w:sz w:val="26"/>
                <w:szCs w:val="26"/>
              </w:rPr>
              <w:t>En contraste, se identificaron departamentos con desempeño bajo:</w:t>
            </w:r>
          </w:p>
          <w:p w14:paraId="194F511E" w14:textId="77777777" w:rsidR="00FA0D4D" w:rsidRDefault="00000000">
            <w:pPr>
              <w:numPr>
                <w:ilvl w:val="0"/>
                <w:numId w:val="1"/>
              </w:numPr>
              <w:spacing w:before="240" w:line="276" w:lineRule="auto"/>
              <w:rPr>
                <w:sz w:val="26"/>
                <w:szCs w:val="26"/>
              </w:rPr>
            </w:pPr>
            <w:r>
              <w:rPr>
                <w:b/>
                <w:bCs/>
                <w:sz w:val="26"/>
                <w:szCs w:val="26"/>
              </w:rPr>
              <w:t>Comunicaciones</w:t>
            </w:r>
            <w:r>
              <w:rPr>
                <w:sz w:val="26"/>
                <w:szCs w:val="26"/>
              </w:rPr>
              <w:t xml:space="preserve">, con un </w:t>
            </w:r>
            <w:r>
              <w:rPr>
                <w:b/>
                <w:bCs/>
                <w:sz w:val="26"/>
                <w:szCs w:val="26"/>
              </w:rPr>
              <w:t>0% de efectividad</w:t>
            </w:r>
            <w:r>
              <w:rPr>
                <w:sz w:val="26"/>
                <w:szCs w:val="26"/>
              </w:rPr>
              <w:t>, principalmente por limitaciones de personal y dificultades logísticas.</w:t>
            </w:r>
          </w:p>
          <w:p w14:paraId="12E79F27" w14:textId="77777777" w:rsidR="00FA0D4D" w:rsidRDefault="00000000">
            <w:pPr>
              <w:numPr>
                <w:ilvl w:val="0"/>
                <w:numId w:val="1"/>
              </w:numPr>
              <w:spacing w:after="240" w:line="276" w:lineRule="auto"/>
              <w:rPr>
                <w:sz w:val="26"/>
                <w:szCs w:val="26"/>
              </w:rPr>
            </w:pPr>
            <w:r>
              <w:rPr>
                <w:b/>
                <w:bCs/>
                <w:sz w:val="26"/>
                <w:szCs w:val="26"/>
              </w:rPr>
              <w:t>Calidad de los Servicios</w:t>
            </w:r>
            <w:r>
              <w:rPr>
                <w:sz w:val="26"/>
                <w:szCs w:val="26"/>
              </w:rPr>
              <w:t xml:space="preserve">, con tan solo </w:t>
            </w:r>
            <w:r>
              <w:rPr>
                <w:b/>
                <w:bCs/>
                <w:sz w:val="26"/>
                <w:szCs w:val="26"/>
              </w:rPr>
              <w:t>33% de cumplimiento</w:t>
            </w:r>
            <w:r>
              <w:rPr>
                <w:sz w:val="26"/>
                <w:szCs w:val="26"/>
              </w:rPr>
              <w:t>, lo que requiere intervenciones de mejora inmediatas.</w:t>
            </w:r>
          </w:p>
          <w:p w14:paraId="5AD157EF" w14:textId="77777777" w:rsidR="00FA0D4D" w:rsidRDefault="00000000">
            <w:pPr>
              <w:pStyle w:val="Ttulo3"/>
              <w:keepNext w:val="0"/>
              <w:keepLines w:val="0"/>
              <w:spacing w:line="276" w:lineRule="auto"/>
              <w:ind w:left="720" w:hanging="360"/>
              <w:rPr>
                <w:sz w:val="26"/>
                <w:szCs w:val="26"/>
              </w:rPr>
            </w:pPr>
            <w:bookmarkStart w:id="1" w:name="_heading=h.xmhf3eb2320" w:colFirst="0" w:colLast="0"/>
            <w:bookmarkEnd w:id="1"/>
            <w:r>
              <w:rPr>
                <w:sz w:val="26"/>
                <w:szCs w:val="26"/>
              </w:rPr>
              <w:t>2. Nivel de Efectividad Institucional</w:t>
            </w:r>
          </w:p>
          <w:p w14:paraId="2C275194" w14:textId="77777777" w:rsidR="00FA0D4D" w:rsidRDefault="00000000">
            <w:pPr>
              <w:spacing w:before="240" w:after="240" w:line="276" w:lineRule="auto"/>
              <w:jc w:val="both"/>
              <w:rPr>
                <w:sz w:val="26"/>
                <w:szCs w:val="26"/>
              </w:rPr>
            </w:pPr>
            <w:r>
              <w:rPr>
                <w:sz w:val="26"/>
                <w:szCs w:val="26"/>
              </w:rPr>
              <w:t xml:space="preserve">El análisis global determinó un </w:t>
            </w:r>
            <w:r>
              <w:rPr>
                <w:b/>
                <w:bCs/>
                <w:sz w:val="26"/>
                <w:szCs w:val="26"/>
              </w:rPr>
              <w:t>96% de efectividad institucional</w:t>
            </w:r>
            <w:r>
              <w:rPr>
                <w:sz w:val="26"/>
                <w:szCs w:val="26"/>
              </w:rPr>
              <w:t xml:space="preserve"> en la ejecución de actividades del trimestre.</w:t>
            </w:r>
            <w:r>
              <w:rPr>
                <w:sz w:val="26"/>
                <w:szCs w:val="26"/>
              </w:rPr>
              <w:br/>
              <w:t xml:space="preserve"> Aunque se registraron actividades reprogramadas, estas fueron debidamente justificadas. Sin embargo, se enfatizó en la necesidad de priorizarlas en el próximo período para evitar acumulación de retrasos.</w:t>
            </w:r>
          </w:p>
          <w:p w14:paraId="7B7167DD" w14:textId="77777777" w:rsidR="00FA0D4D" w:rsidRDefault="00000000">
            <w:pPr>
              <w:pStyle w:val="Ttulo3"/>
              <w:keepNext w:val="0"/>
              <w:keepLines w:val="0"/>
              <w:spacing w:line="276" w:lineRule="auto"/>
              <w:ind w:left="720" w:hanging="360"/>
              <w:rPr>
                <w:sz w:val="26"/>
                <w:szCs w:val="26"/>
              </w:rPr>
            </w:pPr>
            <w:bookmarkStart w:id="2" w:name="_heading=h.3brf4xe7rdu7" w:colFirst="0" w:colLast="0"/>
            <w:bookmarkEnd w:id="2"/>
            <w:r>
              <w:rPr>
                <w:sz w:val="26"/>
                <w:szCs w:val="26"/>
              </w:rPr>
              <w:t>3. Áreas de Mejora Identificadas</w:t>
            </w:r>
          </w:p>
          <w:p w14:paraId="48AA85F7" w14:textId="77777777" w:rsidR="00FA0D4D" w:rsidRDefault="00000000">
            <w:pPr>
              <w:spacing w:before="240" w:after="240" w:line="276" w:lineRule="auto"/>
              <w:rPr>
                <w:sz w:val="26"/>
                <w:szCs w:val="26"/>
              </w:rPr>
            </w:pPr>
            <w:r>
              <w:rPr>
                <w:sz w:val="26"/>
                <w:szCs w:val="26"/>
              </w:rPr>
              <w:t>Durante el proceso de revisión se subrayan necesidades fundamentales para fortalecer la gestión interna:</w:t>
            </w:r>
          </w:p>
          <w:p w14:paraId="50E23829" w14:textId="77777777" w:rsidR="00FA0D4D" w:rsidRDefault="00000000">
            <w:pPr>
              <w:numPr>
                <w:ilvl w:val="0"/>
                <w:numId w:val="4"/>
              </w:numPr>
              <w:spacing w:before="240" w:line="276" w:lineRule="auto"/>
              <w:rPr>
                <w:sz w:val="26"/>
                <w:szCs w:val="26"/>
              </w:rPr>
            </w:pPr>
            <w:r>
              <w:rPr>
                <w:b/>
                <w:bCs/>
                <w:sz w:val="26"/>
                <w:szCs w:val="26"/>
              </w:rPr>
              <w:t>Mejorar la articulación entre departamentos</w:t>
            </w:r>
            <w:r>
              <w:rPr>
                <w:sz w:val="26"/>
                <w:szCs w:val="26"/>
              </w:rPr>
              <w:t>, optimizando procesos que requieren coordinación interdependiente</w:t>
            </w:r>
          </w:p>
          <w:p w14:paraId="11915829" w14:textId="77777777" w:rsidR="00FA0D4D" w:rsidRDefault="00000000">
            <w:pPr>
              <w:numPr>
                <w:ilvl w:val="0"/>
                <w:numId w:val="4"/>
              </w:numPr>
              <w:spacing w:line="276" w:lineRule="auto"/>
              <w:rPr>
                <w:sz w:val="26"/>
                <w:szCs w:val="26"/>
              </w:rPr>
            </w:pPr>
            <w:r>
              <w:rPr>
                <w:b/>
                <w:bCs/>
                <w:sz w:val="26"/>
                <w:szCs w:val="26"/>
              </w:rPr>
              <w:t>Asegurar la entrega puntual de los medios de verificación</w:t>
            </w:r>
            <w:r>
              <w:rPr>
                <w:sz w:val="26"/>
                <w:szCs w:val="26"/>
              </w:rPr>
              <w:t>, garantizando transparencia y trazabilidad en la ejecución.</w:t>
            </w:r>
          </w:p>
          <w:p w14:paraId="0FEFD984" w14:textId="77777777" w:rsidR="00FA0D4D" w:rsidRDefault="00000000">
            <w:pPr>
              <w:numPr>
                <w:ilvl w:val="0"/>
                <w:numId w:val="4"/>
              </w:numPr>
              <w:spacing w:after="240" w:line="276" w:lineRule="auto"/>
              <w:rPr>
                <w:sz w:val="26"/>
                <w:szCs w:val="26"/>
              </w:rPr>
            </w:pPr>
            <w:r>
              <w:rPr>
                <w:b/>
                <w:bCs/>
                <w:sz w:val="26"/>
                <w:szCs w:val="26"/>
              </w:rPr>
              <w:t>Establecer reuniones internas de revisión mensual</w:t>
            </w:r>
            <w:r>
              <w:rPr>
                <w:sz w:val="26"/>
                <w:szCs w:val="26"/>
              </w:rPr>
              <w:t>, permitiendo evaluar avances, identificar barreras y evitar acumulación de actividades pendientes.</w:t>
            </w:r>
          </w:p>
          <w:p w14:paraId="7F784E67" w14:textId="77777777" w:rsidR="00FA0D4D" w:rsidRDefault="00FA0D4D">
            <w:pPr>
              <w:spacing w:line="276" w:lineRule="auto"/>
              <w:ind w:left="720" w:hanging="360"/>
              <w:rPr>
                <w:sz w:val="26"/>
                <w:szCs w:val="26"/>
              </w:rPr>
            </w:pPr>
          </w:p>
          <w:p w14:paraId="4564C120" w14:textId="77777777" w:rsidR="00FA0D4D" w:rsidRDefault="00FA0D4D">
            <w:pPr>
              <w:spacing w:line="276" w:lineRule="auto"/>
              <w:ind w:left="720" w:hanging="360"/>
              <w:rPr>
                <w:sz w:val="26"/>
                <w:szCs w:val="26"/>
              </w:rPr>
            </w:pPr>
          </w:p>
          <w:p w14:paraId="4551BE45" w14:textId="77777777" w:rsidR="00FA0D4D" w:rsidRDefault="00FA0D4D">
            <w:pPr>
              <w:spacing w:line="276" w:lineRule="auto"/>
              <w:ind w:left="720" w:hanging="360"/>
              <w:rPr>
                <w:sz w:val="26"/>
                <w:szCs w:val="26"/>
              </w:rPr>
            </w:pPr>
          </w:p>
          <w:p w14:paraId="6BFD2824" w14:textId="77777777" w:rsidR="00FA0D4D" w:rsidRDefault="00000000">
            <w:pPr>
              <w:pStyle w:val="Ttulo3"/>
              <w:keepNext w:val="0"/>
              <w:keepLines w:val="0"/>
              <w:spacing w:line="276" w:lineRule="auto"/>
              <w:ind w:left="720" w:hanging="360"/>
              <w:rPr>
                <w:sz w:val="26"/>
                <w:szCs w:val="26"/>
              </w:rPr>
            </w:pPr>
            <w:bookmarkStart w:id="3" w:name="_heading=h.ybsztc8dmm9c" w:colFirst="0" w:colLast="0"/>
            <w:bookmarkEnd w:id="3"/>
            <w:r>
              <w:rPr>
                <w:sz w:val="26"/>
                <w:szCs w:val="26"/>
              </w:rPr>
              <w:t>4. Plan de Acción para el Próximo Trimestre</w:t>
            </w:r>
          </w:p>
          <w:p w14:paraId="69F9ED6E" w14:textId="77777777" w:rsidR="00FA0D4D" w:rsidRDefault="00000000">
            <w:pPr>
              <w:spacing w:before="240" w:after="240" w:line="276" w:lineRule="auto"/>
              <w:rPr>
                <w:sz w:val="26"/>
                <w:szCs w:val="26"/>
              </w:rPr>
            </w:pPr>
            <w:r>
              <w:rPr>
                <w:sz w:val="26"/>
                <w:szCs w:val="26"/>
              </w:rPr>
              <w:t>Como resultado de la sesión, se acordaron las siguientes medidas prioritarias:</w:t>
            </w:r>
          </w:p>
          <w:p w14:paraId="341674A5" w14:textId="77777777" w:rsidR="00FA0D4D" w:rsidRDefault="00000000">
            <w:pPr>
              <w:numPr>
                <w:ilvl w:val="0"/>
                <w:numId w:val="2"/>
              </w:numPr>
              <w:spacing w:before="240" w:line="276" w:lineRule="auto"/>
              <w:rPr>
                <w:sz w:val="26"/>
                <w:szCs w:val="26"/>
              </w:rPr>
            </w:pPr>
            <w:r>
              <w:rPr>
                <w:b/>
                <w:bCs/>
                <w:sz w:val="26"/>
                <w:szCs w:val="26"/>
              </w:rPr>
              <w:lastRenderedPageBreak/>
              <w:t>Dar seguimiento inmediato a las actividades reprogramadas</w:t>
            </w:r>
            <w:r>
              <w:rPr>
                <w:sz w:val="26"/>
                <w:szCs w:val="26"/>
              </w:rPr>
              <w:t>, especialmente en las áreas de Comunicaciones, Calidad de los Servicios, Planificación y Desarrollo, y Materno-Neonatal.</w:t>
            </w:r>
          </w:p>
          <w:p w14:paraId="5C85B60E" w14:textId="77777777" w:rsidR="00FA0D4D" w:rsidRDefault="00000000">
            <w:pPr>
              <w:numPr>
                <w:ilvl w:val="0"/>
                <w:numId w:val="2"/>
              </w:numPr>
              <w:spacing w:line="276" w:lineRule="auto"/>
              <w:rPr>
                <w:sz w:val="26"/>
                <w:szCs w:val="26"/>
              </w:rPr>
            </w:pPr>
            <w:r>
              <w:rPr>
                <w:b/>
                <w:bCs/>
                <w:sz w:val="26"/>
                <w:szCs w:val="26"/>
              </w:rPr>
              <w:t>Implementar reuniones de supervisión cada dos meses</w:t>
            </w:r>
            <w:r>
              <w:rPr>
                <w:sz w:val="26"/>
                <w:szCs w:val="26"/>
              </w:rPr>
              <w:t>, lideradas por la Dirección General y Planificación, con los jefes de departamento.</w:t>
            </w:r>
          </w:p>
          <w:p w14:paraId="10A6284E" w14:textId="77777777" w:rsidR="00FA0D4D" w:rsidRDefault="00000000">
            <w:pPr>
              <w:numPr>
                <w:ilvl w:val="0"/>
                <w:numId w:val="2"/>
              </w:numPr>
              <w:spacing w:after="240" w:line="276" w:lineRule="auto"/>
              <w:rPr>
                <w:sz w:val="26"/>
                <w:szCs w:val="26"/>
              </w:rPr>
            </w:pPr>
            <w:r>
              <w:rPr>
                <w:b/>
                <w:bCs/>
                <w:sz w:val="26"/>
                <w:szCs w:val="26"/>
              </w:rPr>
              <w:t>Asignar responsables específicos por área crítica</w:t>
            </w:r>
            <w:r>
              <w:rPr>
                <w:sz w:val="26"/>
                <w:szCs w:val="26"/>
              </w:rPr>
              <w:t>, encargados de garantizar el avance continuo y la entrega oportuna de los informes parciales.</w:t>
            </w:r>
          </w:p>
        </w:tc>
      </w:tr>
      <w:tr w:rsidR="00FA0D4D" w14:paraId="7AFD777D" w14:textId="77777777">
        <w:trPr>
          <w:trHeight w:val="195"/>
        </w:trPr>
        <w:tc>
          <w:tcPr>
            <w:tcW w:w="10916" w:type="dxa"/>
            <w:tcBorders>
              <w:left w:val="nil"/>
              <w:right w:val="nil"/>
            </w:tcBorders>
            <w:vAlign w:val="center"/>
          </w:tcPr>
          <w:p w14:paraId="2A5ADDD8" w14:textId="77777777" w:rsidR="00FA0D4D" w:rsidRDefault="00FA0D4D">
            <w:pPr>
              <w:spacing w:line="168" w:lineRule="auto"/>
              <w:jc w:val="center"/>
              <w:rPr>
                <w:rFonts w:ascii="Rockwell" w:eastAsia="Rockwell" w:hAnsi="Rockwell" w:cs="Rockwell"/>
                <w:sz w:val="16"/>
                <w:szCs w:val="16"/>
              </w:rPr>
            </w:pPr>
          </w:p>
        </w:tc>
      </w:tr>
      <w:tr w:rsidR="00FA0D4D" w14:paraId="263F374D" w14:textId="77777777">
        <w:trPr>
          <w:trHeight w:val="441"/>
        </w:trPr>
        <w:tc>
          <w:tcPr>
            <w:tcW w:w="10916" w:type="dxa"/>
            <w:tcBorders>
              <w:left w:val="nil"/>
              <w:bottom w:val="single" w:sz="4" w:space="0" w:color="000000"/>
              <w:right w:val="nil"/>
            </w:tcBorders>
            <w:shd w:val="clear" w:color="auto" w:fill="0C5277"/>
            <w:vAlign w:val="center"/>
          </w:tcPr>
          <w:p w14:paraId="68DDF650" w14:textId="77777777" w:rsidR="00FA0D4D" w:rsidRDefault="00000000">
            <w:pPr>
              <w:jc w:val="center"/>
              <w:rPr>
                <w:rFonts w:ascii="Rockwell" w:eastAsia="Rockwell" w:hAnsi="Rockwell" w:cs="Rockwell"/>
                <w:sz w:val="16"/>
                <w:szCs w:val="16"/>
              </w:rPr>
            </w:pPr>
            <w:r>
              <w:rPr>
                <w:rFonts w:ascii="Rockwell" w:eastAsia="Rockwell" w:hAnsi="Rockwell" w:cs="Rockwell"/>
                <w:b/>
                <w:bCs/>
                <w:color w:val="FFFFFF"/>
              </w:rPr>
              <w:t>RESULTADOS / CONCLUSIONES</w:t>
            </w:r>
          </w:p>
        </w:tc>
      </w:tr>
      <w:tr w:rsidR="00FA0D4D" w14:paraId="4BA9DDBF" w14:textId="77777777">
        <w:trPr>
          <w:trHeight w:val="441"/>
        </w:trPr>
        <w:tc>
          <w:tcPr>
            <w:tcW w:w="10916" w:type="dxa"/>
            <w:tcBorders>
              <w:left w:val="single" w:sz="4" w:space="0" w:color="000000"/>
              <w:bottom w:val="single" w:sz="4" w:space="0" w:color="000000"/>
              <w:right w:val="single" w:sz="4" w:space="0" w:color="000000"/>
            </w:tcBorders>
            <w:vAlign w:val="center"/>
          </w:tcPr>
          <w:p w14:paraId="62394F73" w14:textId="77777777" w:rsidR="00FA0D4D" w:rsidRDefault="00000000">
            <w:pPr>
              <w:spacing w:before="240" w:after="240" w:line="276" w:lineRule="auto"/>
              <w:jc w:val="both"/>
              <w:rPr>
                <w:sz w:val="26"/>
                <w:szCs w:val="26"/>
              </w:rPr>
            </w:pPr>
            <w:r>
              <w:rPr>
                <w:sz w:val="26"/>
                <w:szCs w:val="26"/>
              </w:rPr>
              <w:t>La autoevaluación del tercer trimestre 2025 evidencia un desempeño institucional sólido, con un 96% de efectividad alcanzada. No obstante, persisten áreas críticas que requieren atención prioritaria para asegurar un balance adecuado en la ejecución del POA. La identificación temprana de estas brechas permitirá fortalecer la gestión y consolidar los avances institucionales en el próximo período.</w:t>
            </w:r>
          </w:p>
        </w:tc>
      </w:tr>
      <w:tr w:rsidR="00FA0D4D" w14:paraId="54B25C18" w14:textId="77777777">
        <w:trPr>
          <w:trHeight w:val="225"/>
        </w:trPr>
        <w:tc>
          <w:tcPr>
            <w:tcW w:w="10916" w:type="dxa"/>
            <w:tcBorders>
              <w:top w:val="single" w:sz="4" w:space="0" w:color="000000"/>
              <w:left w:val="nil"/>
              <w:bottom w:val="nil"/>
              <w:right w:val="nil"/>
            </w:tcBorders>
            <w:vAlign w:val="center"/>
          </w:tcPr>
          <w:p w14:paraId="4EACC29A" w14:textId="77777777" w:rsidR="00FA0D4D" w:rsidRDefault="00FA0D4D">
            <w:pPr>
              <w:spacing w:line="168" w:lineRule="auto"/>
              <w:rPr>
                <w:rFonts w:ascii="Rockwell" w:eastAsia="Rockwell" w:hAnsi="Rockwell" w:cs="Rockwell"/>
                <w:sz w:val="16"/>
                <w:szCs w:val="16"/>
              </w:rPr>
            </w:pPr>
          </w:p>
        </w:tc>
      </w:tr>
      <w:tr w:rsidR="00FA0D4D" w14:paraId="3595E7BF" w14:textId="77777777">
        <w:trPr>
          <w:cantSplit/>
          <w:trHeight w:val="376"/>
        </w:trPr>
        <w:tc>
          <w:tcPr>
            <w:tcW w:w="10916" w:type="dxa"/>
            <w:tcBorders>
              <w:top w:val="nil"/>
              <w:bottom w:val="single" w:sz="4" w:space="0" w:color="000000"/>
              <w:right w:val="nil"/>
            </w:tcBorders>
            <w:shd w:val="clear" w:color="auto" w:fill="0C5277"/>
            <w:vAlign w:val="center"/>
          </w:tcPr>
          <w:p w14:paraId="5983EFDD" w14:textId="77777777" w:rsidR="00FA0D4D" w:rsidRDefault="00000000">
            <w:pPr>
              <w:jc w:val="center"/>
              <w:rPr>
                <w:rFonts w:ascii="Rockwell" w:eastAsia="Rockwell" w:hAnsi="Rockwell" w:cs="Rockwell"/>
                <w:b/>
                <w:bCs/>
              </w:rPr>
            </w:pPr>
            <w:r>
              <w:rPr>
                <w:rFonts w:ascii="Rockwell" w:eastAsia="Rockwell" w:hAnsi="Rockwell" w:cs="Rockwell"/>
                <w:b/>
                <w:bCs/>
                <w:color w:val="FFFFFF"/>
              </w:rPr>
              <w:t xml:space="preserve">RECOMENDACIONES </w:t>
            </w:r>
          </w:p>
        </w:tc>
      </w:tr>
      <w:tr w:rsidR="00FA0D4D" w14:paraId="3959AB3C" w14:textId="77777777">
        <w:trPr>
          <w:trHeight w:val="530"/>
        </w:trPr>
        <w:tc>
          <w:tcPr>
            <w:tcW w:w="10916" w:type="dxa"/>
            <w:tcBorders>
              <w:bottom w:val="single" w:sz="4" w:space="0" w:color="000000"/>
            </w:tcBorders>
          </w:tcPr>
          <w:p w14:paraId="52E86AE5" w14:textId="77777777" w:rsidR="00FA0D4D" w:rsidRDefault="00000000">
            <w:pPr>
              <w:spacing w:after="240" w:line="276" w:lineRule="auto"/>
              <w:jc w:val="both"/>
              <w:rPr>
                <w:sz w:val="26"/>
                <w:szCs w:val="26"/>
              </w:rPr>
            </w:pPr>
            <w:r>
              <w:rPr>
                <w:sz w:val="26"/>
                <w:szCs w:val="26"/>
              </w:rPr>
              <w:t>Priorizar los departamentos con bajo rendimiento mediante acompañamiento técnico y reorganización interna.</w:t>
            </w:r>
          </w:p>
        </w:tc>
      </w:tr>
      <w:tr w:rsidR="00FA0D4D" w14:paraId="7C5A62C7" w14:textId="77777777">
        <w:trPr>
          <w:trHeight w:val="198"/>
        </w:trPr>
        <w:tc>
          <w:tcPr>
            <w:tcW w:w="10916" w:type="dxa"/>
            <w:tcBorders>
              <w:top w:val="single" w:sz="4" w:space="0" w:color="000000"/>
              <w:left w:val="nil"/>
              <w:bottom w:val="nil"/>
              <w:right w:val="nil"/>
            </w:tcBorders>
          </w:tcPr>
          <w:p w14:paraId="400AE0AF" w14:textId="77777777" w:rsidR="00FA0D4D" w:rsidRDefault="00FA0D4D">
            <w:pPr>
              <w:spacing w:line="168" w:lineRule="auto"/>
              <w:jc w:val="center"/>
              <w:rPr>
                <w:rFonts w:ascii="Rockwell" w:eastAsia="Rockwell" w:hAnsi="Rockwell" w:cs="Rockwell"/>
                <w:sz w:val="22"/>
                <w:szCs w:val="22"/>
              </w:rPr>
            </w:pPr>
          </w:p>
        </w:tc>
      </w:tr>
      <w:tr w:rsidR="00FA0D4D" w14:paraId="4D14995F" w14:textId="77777777">
        <w:trPr>
          <w:trHeight w:val="372"/>
        </w:trPr>
        <w:tc>
          <w:tcPr>
            <w:tcW w:w="10916" w:type="dxa"/>
            <w:tcBorders>
              <w:top w:val="nil"/>
              <w:bottom w:val="single" w:sz="4" w:space="0" w:color="000000"/>
            </w:tcBorders>
            <w:shd w:val="clear" w:color="auto" w:fill="0C5277"/>
          </w:tcPr>
          <w:p w14:paraId="328C57E4" w14:textId="77777777" w:rsidR="00FA0D4D" w:rsidRDefault="00000000">
            <w:pPr>
              <w:tabs>
                <w:tab w:val="left" w:pos="4140"/>
              </w:tabs>
              <w:jc w:val="center"/>
              <w:rPr>
                <w:rFonts w:ascii="Rockwell" w:eastAsia="Rockwell" w:hAnsi="Rockwell" w:cs="Rockwell"/>
                <w:b/>
                <w:bCs/>
                <w:color w:val="FFFFFF"/>
              </w:rPr>
            </w:pPr>
            <w:r>
              <w:rPr>
                <w:rFonts w:ascii="Rockwell" w:eastAsia="Rockwell" w:hAnsi="Rockwell" w:cs="Rockwell"/>
                <w:b/>
                <w:bCs/>
                <w:color w:val="FFFFFF"/>
              </w:rPr>
              <w:t>ANEXOS (</w:t>
            </w:r>
            <w:r>
              <w:rPr>
                <w:rFonts w:ascii="Rockwell" w:eastAsia="Rockwell" w:hAnsi="Rockwell" w:cs="Rockwell"/>
                <w:b/>
                <w:bCs/>
                <w:color w:val="FFFFFF"/>
                <w:sz w:val="18"/>
                <w:szCs w:val="18"/>
              </w:rPr>
              <w:t>Si aplica</w:t>
            </w:r>
            <w:r>
              <w:rPr>
                <w:rFonts w:ascii="Rockwell" w:eastAsia="Rockwell" w:hAnsi="Rockwell" w:cs="Rockwell"/>
                <w:b/>
                <w:bCs/>
                <w:color w:val="FFFFFF"/>
              </w:rPr>
              <w:t>)</w:t>
            </w:r>
          </w:p>
        </w:tc>
      </w:tr>
      <w:tr w:rsidR="00FA0D4D" w14:paraId="5D616A52" w14:textId="77777777">
        <w:trPr>
          <w:trHeight w:val="530"/>
        </w:trPr>
        <w:tc>
          <w:tcPr>
            <w:tcW w:w="10916" w:type="dxa"/>
            <w:tcBorders>
              <w:bottom w:val="single" w:sz="4" w:space="0" w:color="000000"/>
            </w:tcBorders>
          </w:tcPr>
          <w:p w14:paraId="2A4CBFA8" w14:textId="77777777" w:rsidR="00FA0D4D" w:rsidRDefault="00000000">
            <w:pPr>
              <w:spacing w:after="120" w:line="276" w:lineRule="auto"/>
              <w:jc w:val="both"/>
              <w:rPr>
                <w:sz w:val="26"/>
                <w:szCs w:val="26"/>
              </w:rPr>
            </w:pPr>
            <w:r>
              <w:rPr>
                <w:sz w:val="26"/>
                <w:szCs w:val="26"/>
              </w:rPr>
              <w:t>Matriz y listado</w:t>
            </w:r>
          </w:p>
        </w:tc>
      </w:tr>
    </w:tbl>
    <w:p w14:paraId="7D38A0E7" w14:textId="77777777" w:rsidR="00FA0D4D" w:rsidRDefault="00000000">
      <w:pPr>
        <w:tabs>
          <w:tab w:val="left" w:pos="6290"/>
        </w:tabs>
        <w:ind w:left="-993"/>
        <w:rPr>
          <w:rFonts w:ascii="Rockwell" w:eastAsia="Rockwell" w:hAnsi="Rockwell" w:cs="Rockwell"/>
          <w:b/>
          <w:bCs/>
          <w:sz w:val="18"/>
          <w:szCs w:val="18"/>
          <w:u w:val="single"/>
        </w:rPr>
      </w:pPr>
      <w:r>
        <w:rPr>
          <w:rFonts w:ascii="Rockwell" w:eastAsia="Rockwell" w:hAnsi="Rockwell" w:cs="Rockwell"/>
          <w:b/>
          <w:bCs/>
          <w:sz w:val="18"/>
          <w:szCs w:val="18"/>
          <w:u w:val="single"/>
        </w:rPr>
        <w:t>Instrucciones de llenado:</w:t>
      </w:r>
    </w:p>
    <w:p w14:paraId="0081CB50" w14:textId="77777777" w:rsidR="00FA0D4D" w:rsidRDefault="00000000">
      <w:pPr>
        <w:tabs>
          <w:tab w:val="left" w:pos="6290"/>
        </w:tabs>
        <w:ind w:hanging="993"/>
        <w:rPr>
          <w:rFonts w:ascii="Rockwell" w:eastAsia="Rockwell" w:hAnsi="Rockwell" w:cs="Rockwell"/>
          <w:sz w:val="18"/>
          <w:szCs w:val="18"/>
        </w:rPr>
      </w:pPr>
      <w:bookmarkStart w:id="4" w:name="_heading=h.30j0zll" w:colFirst="0" w:colLast="0"/>
      <w:bookmarkEnd w:id="4"/>
      <w:r>
        <w:rPr>
          <w:rFonts w:ascii="Rockwell" w:eastAsia="Rockwell" w:hAnsi="Rockwell" w:cs="Rockwell"/>
          <w:b/>
          <w:bCs/>
          <w:sz w:val="18"/>
          <w:szCs w:val="18"/>
        </w:rPr>
        <w:t>*Indique nombre del lugar</w:t>
      </w:r>
      <w:r>
        <w:rPr>
          <w:rFonts w:ascii="Rockwell" w:eastAsia="Rockwell" w:hAnsi="Rockwell" w:cs="Rockwell"/>
          <w:sz w:val="18"/>
          <w:szCs w:val="18"/>
        </w:rPr>
        <w:t>: Este campo sólo aplica para SRS, Hospital y CPN.</w:t>
      </w:r>
    </w:p>
    <w:p w14:paraId="0E616640" w14:textId="77777777" w:rsidR="00FA0D4D" w:rsidRDefault="00FA0D4D">
      <w:pPr>
        <w:tabs>
          <w:tab w:val="left" w:pos="6290"/>
        </w:tabs>
        <w:ind w:hanging="993"/>
        <w:rPr>
          <w:rFonts w:ascii="Rockwell" w:eastAsia="Rockwell" w:hAnsi="Rockwell" w:cs="Rockwell"/>
        </w:rPr>
      </w:pPr>
    </w:p>
    <w:p w14:paraId="499C62D8" w14:textId="215FB1D5" w:rsidR="00FA0D4D" w:rsidRDefault="00B07A29" w:rsidP="00B07A29">
      <w:pPr>
        <w:tabs>
          <w:tab w:val="left" w:pos="6290"/>
        </w:tabs>
        <w:jc w:val="center"/>
        <w:rPr>
          <w:rFonts w:ascii="Rockwell" w:eastAsia="Rockwell" w:hAnsi="Rockwell" w:cs="Rockwell"/>
        </w:rPr>
      </w:pPr>
      <w:r>
        <w:rPr>
          <w:rFonts w:ascii="Rockwell" w:eastAsia="Rockwell" w:hAnsi="Rockwell" w:cs="Rockwell"/>
        </w:rPr>
        <w:t>Ing. Susan Patricio</w:t>
      </w:r>
    </w:p>
    <w:tbl>
      <w:tblPr>
        <w:tblStyle w:val="aff6"/>
        <w:tblW w:w="10916" w:type="dxa"/>
        <w:tblInd w:w="-998" w:type="dxa"/>
        <w:tblLayout w:type="fixed"/>
        <w:tblLook w:val="0000" w:firstRow="0" w:lastRow="0" w:firstColumn="0" w:lastColumn="0" w:noHBand="0" w:noVBand="0"/>
      </w:tblPr>
      <w:tblGrid>
        <w:gridCol w:w="3638"/>
        <w:gridCol w:w="3639"/>
        <w:gridCol w:w="3639"/>
      </w:tblGrid>
      <w:tr w:rsidR="00FA0D4D" w14:paraId="45B344D0" w14:textId="77777777">
        <w:trPr>
          <w:trHeight w:val="501"/>
        </w:trPr>
        <w:tc>
          <w:tcPr>
            <w:tcW w:w="3638" w:type="dxa"/>
            <w:shd w:val="clear" w:color="auto" w:fill="auto"/>
            <w:vAlign w:val="center"/>
          </w:tcPr>
          <w:p w14:paraId="0F88C34A" w14:textId="77777777" w:rsidR="00FA0D4D" w:rsidRDefault="00FA0D4D">
            <w:pPr>
              <w:jc w:val="center"/>
              <w:rPr>
                <w:rFonts w:ascii="Rockwell" w:eastAsia="Rockwell" w:hAnsi="Rockwell" w:cs="Rockwell"/>
              </w:rPr>
            </w:pPr>
          </w:p>
        </w:tc>
        <w:tc>
          <w:tcPr>
            <w:tcW w:w="3639" w:type="dxa"/>
            <w:tcBorders>
              <w:top w:val="single" w:sz="4" w:space="0" w:color="000000"/>
            </w:tcBorders>
            <w:shd w:val="clear" w:color="auto" w:fill="auto"/>
            <w:vAlign w:val="center"/>
          </w:tcPr>
          <w:p w14:paraId="0CB89C58" w14:textId="77777777" w:rsidR="00FA0D4D" w:rsidRDefault="00000000">
            <w:pPr>
              <w:jc w:val="center"/>
              <w:rPr>
                <w:rFonts w:ascii="Rockwell" w:eastAsia="Rockwell" w:hAnsi="Rockwell" w:cs="Rockwell"/>
              </w:rPr>
            </w:pPr>
            <w:r>
              <w:rPr>
                <w:rFonts w:ascii="Rockwell" w:eastAsia="Rockwell" w:hAnsi="Rockwell" w:cs="Rockwell"/>
              </w:rPr>
              <w:t>Elaborado por</w:t>
            </w:r>
          </w:p>
          <w:p w14:paraId="215280C3" w14:textId="77777777" w:rsidR="00FA0D4D" w:rsidRDefault="00000000">
            <w:pPr>
              <w:jc w:val="center"/>
              <w:rPr>
                <w:rFonts w:ascii="Rockwell" w:eastAsia="Rockwell" w:hAnsi="Rockwell" w:cs="Rockwell"/>
              </w:rPr>
            </w:pPr>
            <w:r>
              <w:rPr>
                <w:rFonts w:ascii="Rockwell" w:eastAsia="Rockwell" w:hAnsi="Rockwell" w:cs="Rockwell"/>
                <w:sz w:val="18"/>
                <w:szCs w:val="18"/>
              </w:rPr>
              <w:t>(Nombre y apellido)</w:t>
            </w:r>
          </w:p>
        </w:tc>
        <w:tc>
          <w:tcPr>
            <w:tcW w:w="3639" w:type="dxa"/>
            <w:shd w:val="clear" w:color="auto" w:fill="auto"/>
            <w:vAlign w:val="center"/>
          </w:tcPr>
          <w:p w14:paraId="7522736E" w14:textId="77777777" w:rsidR="00FA0D4D" w:rsidRDefault="00FA0D4D">
            <w:pPr>
              <w:jc w:val="center"/>
              <w:rPr>
                <w:rFonts w:ascii="Rockwell" w:eastAsia="Rockwell" w:hAnsi="Rockwell" w:cs="Rockwell"/>
              </w:rPr>
            </w:pPr>
          </w:p>
        </w:tc>
      </w:tr>
    </w:tbl>
    <w:p w14:paraId="0963B12A" w14:textId="77777777" w:rsidR="00FA0D4D" w:rsidRDefault="00FA0D4D">
      <w:pPr>
        <w:rPr>
          <w:rFonts w:ascii="Rockwell" w:eastAsia="Rockwell" w:hAnsi="Rockwell" w:cs="Rockwell"/>
        </w:rPr>
      </w:pPr>
    </w:p>
    <w:sectPr w:rsidR="00FA0D4D">
      <w:headerReference w:type="default" r:id="rId8"/>
      <w:footerReference w:type="default" r:id="rId9"/>
      <w:pgSz w:w="12240" w:h="15840"/>
      <w:pgMar w:top="1417" w:right="1041" w:bottom="1417" w:left="1701" w:header="510" w:footer="51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EC688F" w14:textId="77777777" w:rsidR="00175DDD" w:rsidRDefault="00175DDD">
      <w:r>
        <w:separator/>
      </w:r>
    </w:p>
  </w:endnote>
  <w:endnote w:type="continuationSeparator" w:id="0">
    <w:p w14:paraId="4BEAB16D" w14:textId="77777777" w:rsidR="00175DDD" w:rsidRDefault="00175D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1" w:fontKey="{C5B020DE-DBF6-4AC2-B2E9-8CFB4C72BE00}"/>
  </w:font>
  <w:font w:name="Georgia">
    <w:panose1 w:val="02040502050405020303"/>
    <w:charset w:val="00"/>
    <w:family w:val="roman"/>
    <w:pitch w:val="variable"/>
    <w:sig w:usb0="00000287" w:usb1="00000000" w:usb2="00000000" w:usb3="00000000" w:csb0="0000009F" w:csb1="00000000"/>
    <w:embedItalic r:id="rId2" w:fontKey="{61185C03-DCF3-4F58-88F2-F7EF54E8A870}"/>
  </w:font>
  <w:font w:name="Arial">
    <w:panose1 w:val="020B0604020202020204"/>
    <w:charset w:val="00"/>
    <w:family w:val="swiss"/>
    <w:pitch w:val="variable"/>
    <w:sig w:usb0="E0002EFF" w:usb1="C000785B" w:usb2="00000009" w:usb3="00000000" w:csb0="000001FF" w:csb1="00000000"/>
  </w:font>
  <w:font w:name="Rockwell">
    <w:charset w:val="00"/>
    <w:family w:val="roman"/>
    <w:pitch w:val="variable"/>
    <w:sig w:usb0="00000003" w:usb1="00000000" w:usb2="00000000" w:usb3="00000000" w:csb0="00000001" w:csb1="00000000"/>
    <w:embedRegular r:id="rId3" w:fontKey="{25C8D1C4-58B2-4343-B95C-F46EA77F1FB8}"/>
    <w:embedBold r:id="rId4" w:fontKey="{6FB308A4-FED9-40AB-BF27-2E82EFE18857}"/>
  </w:font>
  <w:font w:name="MS Gothic">
    <w:altName w:val="ＭＳ ゴシック"/>
    <w:panose1 w:val="020B0609070205080204"/>
    <w:charset w:val="80"/>
    <w:family w:val="modern"/>
    <w:pitch w:val="fixed"/>
    <w:sig w:usb0="E00002FF" w:usb1="6AC7FDFB" w:usb2="08000012" w:usb3="00000000" w:csb0="0002009F" w:csb1="00000000"/>
    <w:embedRegular r:id="rId5" w:subsetted="1" w:fontKey="{8C24F6F5-C1BF-4AC5-A891-0C95503598C7}"/>
  </w:font>
  <w:font w:name="Calibri">
    <w:panose1 w:val="020F0502020204030204"/>
    <w:charset w:val="00"/>
    <w:family w:val="swiss"/>
    <w:pitch w:val="variable"/>
    <w:sig w:usb0="E4002EFF" w:usb1="C000247B" w:usb2="00000009" w:usb3="00000000" w:csb0="000001FF" w:csb1="00000000"/>
    <w:embedRegular r:id="rId6" w:fontKey="{B12A9FB3-AB90-46F7-BE61-21832384D9E6}"/>
    <w:embedBold r:id="rId7" w:fontKey="{330FAF8B-F03E-40CF-90EC-29A18129933E}"/>
  </w:font>
  <w:font w:name="Cambria">
    <w:panose1 w:val="02040503050406030204"/>
    <w:charset w:val="00"/>
    <w:family w:val="roman"/>
    <w:pitch w:val="variable"/>
    <w:sig w:usb0="E00006FF" w:usb1="420024FF" w:usb2="02000000" w:usb3="00000000" w:csb0="0000019F" w:csb1="00000000"/>
    <w:embedRegular r:id="rId8" w:fontKey="{4C1302C0-DA0F-4CFB-9284-0E45CEB0871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807A75" w14:textId="77777777" w:rsidR="00FA0D4D" w:rsidRDefault="00000000">
    <w:pPr>
      <w:pBdr>
        <w:top w:val="nil"/>
        <w:left w:val="nil"/>
        <w:bottom w:val="nil"/>
        <w:right w:val="nil"/>
        <w:between w:val="nil"/>
      </w:pBdr>
      <w:tabs>
        <w:tab w:val="center" w:pos="4419"/>
        <w:tab w:val="right" w:pos="8838"/>
      </w:tabs>
      <w:jc w:val="center"/>
      <w:rPr>
        <w:rFonts w:ascii="Calibri" w:eastAsia="Calibri" w:hAnsi="Calibri" w:cs="Calibri"/>
        <w:color w:val="000000"/>
      </w:rPr>
    </w:pPr>
    <w:r>
      <w:rPr>
        <w:rFonts w:ascii="Calibri" w:eastAsia="Calibri" w:hAnsi="Calibri" w:cs="Calibri"/>
        <w:color w:val="000000"/>
      </w:rPr>
      <w:t xml:space="preserve">Página </w:t>
    </w:r>
    <w:r>
      <w:rPr>
        <w:rFonts w:ascii="Calibri" w:eastAsia="Calibri" w:hAnsi="Calibri" w:cs="Calibri"/>
        <w:b/>
        <w:bCs/>
        <w:color w:val="000000"/>
      </w:rPr>
      <w:fldChar w:fldCharType="begin"/>
    </w:r>
    <w:r>
      <w:rPr>
        <w:rFonts w:ascii="Calibri" w:eastAsia="Calibri" w:hAnsi="Calibri" w:cs="Calibri"/>
        <w:b/>
        <w:bCs/>
        <w:color w:val="000000"/>
      </w:rPr>
      <w:instrText>PAGE</w:instrText>
    </w:r>
    <w:r>
      <w:rPr>
        <w:rFonts w:ascii="Calibri" w:eastAsia="Calibri" w:hAnsi="Calibri" w:cs="Calibri"/>
        <w:b/>
        <w:bCs/>
        <w:color w:val="000000"/>
      </w:rPr>
      <w:fldChar w:fldCharType="separate"/>
    </w:r>
    <w:r w:rsidR="00B07A29">
      <w:rPr>
        <w:rFonts w:ascii="Calibri" w:eastAsia="Calibri" w:hAnsi="Calibri" w:cs="Calibri"/>
        <w:b/>
        <w:bCs/>
        <w:noProof/>
        <w:color w:val="000000"/>
      </w:rPr>
      <w:t>1</w:t>
    </w:r>
    <w:r>
      <w:rPr>
        <w:rFonts w:ascii="Calibri" w:eastAsia="Calibri" w:hAnsi="Calibri" w:cs="Calibri"/>
        <w:b/>
        <w:bCs/>
        <w:color w:val="000000"/>
      </w:rPr>
      <w:fldChar w:fldCharType="end"/>
    </w:r>
    <w:r>
      <w:rPr>
        <w:rFonts w:ascii="Calibri" w:eastAsia="Calibri" w:hAnsi="Calibri" w:cs="Calibri"/>
        <w:color w:val="000000"/>
      </w:rPr>
      <w:t xml:space="preserve"> de </w:t>
    </w:r>
    <w:r>
      <w:rPr>
        <w:rFonts w:ascii="Calibri" w:eastAsia="Calibri" w:hAnsi="Calibri" w:cs="Calibri"/>
        <w:b/>
        <w:bCs/>
        <w:color w:val="000000"/>
      </w:rPr>
      <w:fldChar w:fldCharType="begin"/>
    </w:r>
    <w:r>
      <w:rPr>
        <w:rFonts w:ascii="Calibri" w:eastAsia="Calibri" w:hAnsi="Calibri" w:cs="Calibri"/>
        <w:b/>
        <w:bCs/>
        <w:color w:val="000000"/>
      </w:rPr>
      <w:instrText>NUMPAGES</w:instrText>
    </w:r>
    <w:r>
      <w:rPr>
        <w:rFonts w:ascii="Calibri" w:eastAsia="Calibri" w:hAnsi="Calibri" w:cs="Calibri"/>
        <w:b/>
        <w:bCs/>
        <w:color w:val="000000"/>
      </w:rPr>
      <w:fldChar w:fldCharType="separate"/>
    </w:r>
    <w:r w:rsidR="00B07A29">
      <w:rPr>
        <w:rFonts w:ascii="Calibri" w:eastAsia="Calibri" w:hAnsi="Calibri" w:cs="Calibri"/>
        <w:b/>
        <w:bCs/>
        <w:noProof/>
        <w:color w:val="000000"/>
      </w:rPr>
      <w:t>2</w:t>
    </w:r>
    <w:r>
      <w:rPr>
        <w:rFonts w:ascii="Calibri" w:eastAsia="Calibri" w:hAnsi="Calibri" w:cs="Calibri"/>
        <w:b/>
        <w:bCs/>
        <w:color w:val="000000"/>
      </w:rPr>
      <w:fldChar w:fldCharType="end"/>
    </w:r>
  </w:p>
  <w:p w14:paraId="15E68298" w14:textId="77777777" w:rsidR="00FA0D4D" w:rsidRDefault="00FA0D4D">
    <w:pPr>
      <w:pBdr>
        <w:top w:val="nil"/>
        <w:left w:val="nil"/>
        <w:bottom w:val="nil"/>
        <w:right w:val="nil"/>
        <w:between w:val="nil"/>
      </w:pBdr>
      <w:tabs>
        <w:tab w:val="center" w:pos="4419"/>
        <w:tab w:val="right" w:pos="8838"/>
      </w:tabs>
      <w:rPr>
        <w:rFonts w:ascii="Calibri" w:eastAsia="Calibri" w:hAnsi="Calibri" w:cs="Calibr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206368" w14:textId="77777777" w:rsidR="00175DDD" w:rsidRDefault="00175DDD">
      <w:r>
        <w:separator/>
      </w:r>
    </w:p>
  </w:footnote>
  <w:footnote w:type="continuationSeparator" w:id="0">
    <w:p w14:paraId="60AE50FA" w14:textId="77777777" w:rsidR="00175DDD" w:rsidRDefault="00175D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027AD" w14:textId="77777777" w:rsidR="00FA0D4D" w:rsidRDefault="00000000">
    <w:pPr>
      <w:pBdr>
        <w:top w:val="nil"/>
        <w:left w:val="nil"/>
        <w:bottom w:val="nil"/>
        <w:right w:val="nil"/>
        <w:between w:val="nil"/>
      </w:pBdr>
      <w:tabs>
        <w:tab w:val="center" w:pos="4419"/>
        <w:tab w:val="right" w:pos="8838"/>
        <w:tab w:val="left" w:pos="5387"/>
        <w:tab w:val="left" w:pos="8931"/>
      </w:tabs>
      <w:rPr>
        <w:rFonts w:ascii="Rockwell" w:eastAsia="Rockwell" w:hAnsi="Rockwell" w:cs="Rockwell"/>
        <w:b/>
        <w:bCs/>
        <w:color w:val="545456"/>
        <w:sz w:val="22"/>
        <w:szCs w:val="22"/>
      </w:rPr>
    </w:pPr>
    <w:r>
      <w:rPr>
        <w:rFonts w:ascii="Rockwell" w:eastAsia="Rockwell" w:hAnsi="Rockwell" w:cs="Rockwell"/>
        <w:b/>
        <w:bCs/>
        <w:color w:val="545456"/>
        <w:sz w:val="22"/>
        <w:szCs w:val="22"/>
      </w:rPr>
      <w:t xml:space="preserve">                                                                                                                               Formulario de Informe</w:t>
    </w:r>
    <w:r>
      <w:rPr>
        <w:noProof/>
      </w:rPr>
      <w:drawing>
        <wp:anchor distT="0" distB="0" distL="0" distR="0" simplePos="0" relativeHeight="251658240" behindDoc="1" locked="0" layoutInCell="1" hidden="0" allowOverlap="1" wp14:anchorId="3A9DF2FB" wp14:editId="587F51F6">
          <wp:simplePos x="0" y="0"/>
          <wp:positionH relativeFrom="column">
            <wp:posOffset>-422896</wp:posOffset>
          </wp:positionH>
          <wp:positionV relativeFrom="paragraph">
            <wp:posOffset>-126352</wp:posOffset>
          </wp:positionV>
          <wp:extent cx="1600200" cy="533400"/>
          <wp:effectExtent l="0" t="0" r="0" b="0"/>
          <wp:wrapNone/>
          <wp:docPr id="12" name="image1.png" descr="transparente_version2"/>
          <wp:cNvGraphicFramePr/>
          <a:graphic xmlns:a="http://schemas.openxmlformats.org/drawingml/2006/main">
            <a:graphicData uri="http://schemas.openxmlformats.org/drawingml/2006/picture">
              <pic:pic xmlns:pic="http://schemas.openxmlformats.org/drawingml/2006/picture">
                <pic:nvPicPr>
                  <pic:cNvPr id="0" name="image1.png" descr="transparente_version2"/>
                  <pic:cNvPicPr preferRelativeResize="0"/>
                </pic:nvPicPr>
                <pic:blipFill>
                  <a:blip r:embed="rId1"/>
                  <a:srcRect/>
                  <a:stretch>
                    <a:fillRect/>
                  </a:stretch>
                </pic:blipFill>
                <pic:spPr>
                  <a:xfrm>
                    <a:off x="0" y="0"/>
                    <a:ext cx="1600200" cy="533400"/>
                  </a:xfrm>
                  <a:prstGeom prst="rect">
                    <a:avLst/>
                  </a:prstGeom>
                  <a:ln/>
                </pic:spPr>
              </pic:pic>
            </a:graphicData>
          </a:graphic>
        </wp:anchor>
      </w:drawing>
    </w:r>
  </w:p>
  <w:p w14:paraId="3D9EDC68" w14:textId="77777777" w:rsidR="00FA0D4D" w:rsidRDefault="00000000">
    <w:pPr>
      <w:pBdr>
        <w:top w:val="nil"/>
        <w:left w:val="nil"/>
        <w:bottom w:val="nil"/>
        <w:right w:val="nil"/>
        <w:between w:val="nil"/>
      </w:pBdr>
      <w:tabs>
        <w:tab w:val="center" w:pos="4419"/>
        <w:tab w:val="right" w:pos="8838"/>
        <w:tab w:val="right" w:pos="8789"/>
        <w:tab w:val="left" w:pos="8931"/>
      </w:tabs>
      <w:jc w:val="right"/>
      <w:rPr>
        <w:rFonts w:ascii="Rockwell" w:eastAsia="Rockwell" w:hAnsi="Rockwell" w:cs="Rockwell"/>
        <w:color w:val="545456"/>
        <w:sz w:val="20"/>
        <w:szCs w:val="20"/>
      </w:rPr>
    </w:pPr>
    <w:r>
      <w:rPr>
        <w:rFonts w:ascii="Rockwell" w:eastAsia="Rockwell" w:hAnsi="Rockwell" w:cs="Rockwell"/>
        <w:color w:val="545456"/>
        <w:sz w:val="20"/>
        <w:szCs w:val="20"/>
      </w:rPr>
      <w:t>DPD-FO-013</w:t>
    </w:r>
  </w:p>
  <w:p w14:paraId="127A6357" w14:textId="77777777" w:rsidR="00FA0D4D" w:rsidRDefault="00000000">
    <w:pPr>
      <w:pBdr>
        <w:top w:val="nil"/>
        <w:left w:val="nil"/>
        <w:bottom w:val="nil"/>
        <w:right w:val="nil"/>
        <w:between w:val="nil"/>
      </w:pBdr>
      <w:tabs>
        <w:tab w:val="center" w:pos="4419"/>
        <w:tab w:val="right" w:pos="8838"/>
        <w:tab w:val="right" w:pos="8789"/>
        <w:tab w:val="left" w:pos="8931"/>
      </w:tabs>
      <w:jc w:val="right"/>
      <w:rPr>
        <w:rFonts w:ascii="Rockwell" w:eastAsia="Rockwell" w:hAnsi="Rockwell" w:cs="Rockwell"/>
        <w:color w:val="545456"/>
        <w:sz w:val="20"/>
        <w:szCs w:val="20"/>
      </w:rPr>
    </w:pPr>
    <w:r>
      <w:rPr>
        <w:rFonts w:ascii="Rockwell" w:eastAsia="Rockwell" w:hAnsi="Rockwell" w:cs="Rockwell"/>
        <w:color w:val="545456"/>
        <w:sz w:val="20"/>
        <w:szCs w:val="20"/>
      </w:rPr>
      <w:t>Fecha de Aprobación: 20/2/2023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AF63EB"/>
    <w:multiLevelType w:val="multilevel"/>
    <w:tmpl w:val="D4EE67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9AC229C"/>
    <w:multiLevelType w:val="multilevel"/>
    <w:tmpl w:val="E6F263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3BC1CFA"/>
    <w:multiLevelType w:val="hybridMultilevel"/>
    <w:tmpl w:val="4E0C8F66"/>
    <w:lvl w:ilvl="0" w:tplc="1C0A000F">
      <w:start w:val="4"/>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 w15:restartNumberingAfterBreak="0">
    <w:nsid w:val="5F231516"/>
    <w:multiLevelType w:val="multilevel"/>
    <w:tmpl w:val="42E0F6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AF0213A"/>
    <w:multiLevelType w:val="multilevel"/>
    <w:tmpl w:val="B62C5C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96777119">
    <w:abstractNumId w:val="0"/>
  </w:num>
  <w:num w:numId="2" w16cid:durableId="1666741068">
    <w:abstractNumId w:val="1"/>
  </w:num>
  <w:num w:numId="3" w16cid:durableId="198512743">
    <w:abstractNumId w:val="4"/>
  </w:num>
  <w:num w:numId="4" w16cid:durableId="1712416334">
    <w:abstractNumId w:val="3"/>
  </w:num>
  <w:num w:numId="5" w16cid:durableId="4903676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D4D"/>
    <w:rsid w:val="00175DDD"/>
    <w:rsid w:val="00B07A29"/>
    <w:rsid w:val="00FA0D4D"/>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A0490"/>
  <w15:docId w15:val="{10F7E0F2-EBB2-4974-9A08-02CD86864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 w:eastAsia="es-D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unhideWhenUsed/>
    <w:qFormat/>
    <w:pPr>
      <w:keepNext/>
      <w:keepLines/>
      <w:spacing w:before="360" w:after="80"/>
      <w:outlineLvl w:val="1"/>
    </w:pPr>
    <w:rPr>
      <w:b/>
      <w:bCs/>
      <w:sz w:val="36"/>
      <w:szCs w:val="36"/>
    </w:rPr>
  </w:style>
  <w:style w:type="paragraph" w:styleId="Ttulo3">
    <w:name w:val="heading 3"/>
    <w:basedOn w:val="Normal"/>
    <w:next w:val="Normal"/>
    <w:uiPriority w:val="9"/>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rPr>
  </w:style>
  <w:style w:type="paragraph" w:styleId="Ttulo5">
    <w:name w:val="heading 5"/>
    <w:basedOn w:val="Normal"/>
    <w:next w:val="Normal"/>
    <w:uiPriority w:val="9"/>
    <w:semiHidden/>
    <w:unhideWhenUsed/>
    <w:qFormat/>
    <w:pPr>
      <w:keepNext/>
      <w:keepLines/>
      <w:spacing w:before="220" w:after="40"/>
      <w:outlineLvl w:val="4"/>
    </w:pPr>
    <w:rPr>
      <w:b/>
      <w:bCs/>
      <w:sz w:val="22"/>
      <w:szCs w:val="22"/>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paragraph" w:styleId="Encabezado">
    <w:name w:val="header"/>
    <w:basedOn w:val="Normal"/>
    <w:link w:val="EncabezadoCar"/>
    <w:uiPriority w:val="99"/>
    <w:unhideWhenUsed/>
    <w:rsid w:val="00EF064A"/>
    <w:pPr>
      <w:tabs>
        <w:tab w:val="center" w:pos="4419"/>
        <w:tab w:val="right" w:pos="8838"/>
      </w:tabs>
    </w:pPr>
  </w:style>
  <w:style w:type="character" w:customStyle="1" w:styleId="EncabezadoCar">
    <w:name w:val="Encabezado Car"/>
    <w:basedOn w:val="Fuentedeprrafopredeter"/>
    <w:link w:val="Encabezado"/>
    <w:uiPriority w:val="99"/>
    <w:rsid w:val="00EF064A"/>
  </w:style>
  <w:style w:type="paragraph" w:styleId="Piedepgina">
    <w:name w:val="footer"/>
    <w:basedOn w:val="Normal"/>
    <w:link w:val="PiedepginaCar"/>
    <w:uiPriority w:val="99"/>
    <w:unhideWhenUsed/>
    <w:rsid w:val="00EF064A"/>
    <w:pPr>
      <w:tabs>
        <w:tab w:val="center" w:pos="4419"/>
        <w:tab w:val="right" w:pos="8838"/>
      </w:tabs>
    </w:pPr>
  </w:style>
  <w:style w:type="character" w:customStyle="1" w:styleId="PiedepginaCar">
    <w:name w:val="Pie de página Car"/>
    <w:basedOn w:val="Fuentedeprrafopredeter"/>
    <w:link w:val="Piedepgina"/>
    <w:uiPriority w:val="99"/>
    <w:rsid w:val="00EF064A"/>
  </w:style>
  <w:style w:type="paragraph" w:styleId="Textodeglobo">
    <w:name w:val="Balloon Text"/>
    <w:basedOn w:val="Normal"/>
    <w:link w:val="TextodegloboCar"/>
    <w:uiPriority w:val="99"/>
    <w:semiHidden/>
    <w:unhideWhenUsed/>
    <w:rsid w:val="00EF064A"/>
    <w:rPr>
      <w:rFonts w:ascii="Tahoma" w:hAnsi="Tahoma" w:cs="Tahoma"/>
      <w:sz w:val="16"/>
      <w:szCs w:val="16"/>
    </w:rPr>
  </w:style>
  <w:style w:type="character" w:customStyle="1" w:styleId="TextodegloboCar">
    <w:name w:val="Texto de globo Car"/>
    <w:basedOn w:val="Fuentedeprrafopredeter"/>
    <w:link w:val="Textodeglobo"/>
    <w:uiPriority w:val="99"/>
    <w:semiHidden/>
    <w:rsid w:val="00EF064A"/>
    <w:rPr>
      <w:rFonts w:ascii="Tahoma" w:hAnsi="Tahoma" w:cs="Tahoma"/>
      <w:sz w:val="16"/>
      <w:szCs w:val="16"/>
    </w:rPr>
  </w:style>
  <w:style w:type="paragraph" w:styleId="Prrafodelista">
    <w:name w:val="List Paragraph"/>
    <w:basedOn w:val="Normal"/>
    <w:uiPriority w:val="34"/>
    <w:qFormat/>
    <w:rsid w:val="00EF064A"/>
    <w:pPr>
      <w:ind w:left="720"/>
      <w:contextualSpacing/>
    </w:pPr>
  </w:style>
  <w:style w:type="paragraph" w:styleId="NormalWeb">
    <w:name w:val="Normal (Web)"/>
    <w:basedOn w:val="Normal"/>
    <w:uiPriority w:val="99"/>
    <w:semiHidden/>
    <w:unhideWhenUsed/>
    <w:rsid w:val="003141BB"/>
    <w:pPr>
      <w:spacing w:before="100" w:beforeAutospacing="1" w:after="100" w:afterAutospacing="1"/>
    </w:pPr>
    <w:rPr>
      <w:lang w:val="es-DO"/>
    </w:rPr>
  </w:style>
  <w:style w:type="table" w:styleId="Tablaconcuadrcula">
    <w:name w:val="Table Grid"/>
    <w:basedOn w:val="Tablanormal"/>
    <w:uiPriority w:val="59"/>
    <w:rsid w:val="00C320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8"/>
    <w:tblPr>
      <w:tblStyleRowBandSize w:val="1"/>
      <w:tblStyleColBandSize w:val="1"/>
      <w:tblCellMar>
        <w:top w:w="0" w:type="dxa"/>
        <w:left w:w="108" w:type="dxa"/>
        <w:bottom w:w="0" w:type="dxa"/>
        <w:right w:w="108" w:type="dxa"/>
      </w:tblCellMar>
    </w:tblPr>
  </w:style>
  <w:style w:type="table" w:customStyle="1" w:styleId="a0">
    <w:basedOn w:val="TableNormal8"/>
    <w:tblPr>
      <w:tblStyleRowBandSize w:val="1"/>
      <w:tblStyleColBandSize w:val="1"/>
      <w:tblCellMar>
        <w:top w:w="0" w:type="dxa"/>
        <w:left w:w="115" w:type="dxa"/>
        <w:bottom w:w="0" w:type="dxa"/>
        <w:right w:w="115" w:type="dxa"/>
      </w:tblCellMar>
    </w:tblPr>
  </w:style>
  <w:style w:type="table" w:customStyle="1" w:styleId="a1">
    <w:basedOn w:val="TableNormal8"/>
    <w:tblPr>
      <w:tblStyleRowBandSize w:val="1"/>
      <w:tblStyleColBandSize w:val="1"/>
      <w:tblCellMar>
        <w:top w:w="0" w:type="dxa"/>
        <w:left w:w="115" w:type="dxa"/>
        <w:bottom w:w="0" w:type="dxa"/>
        <w:right w:w="115" w:type="dxa"/>
      </w:tblCellMar>
    </w:tblPr>
  </w:style>
  <w:style w:type="table" w:customStyle="1" w:styleId="a2">
    <w:basedOn w:val="TableNormal8"/>
    <w:tblPr>
      <w:tblStyleRowBandSize w:val="1"/>
      <w:tblStyleColBandSize w:val="1"/>
      <w:tblCellMar>
        <w:top w:w="0" w:type="dxa"/>
        <w:left w:w="115" w:type="dxa"/>
        <w:bottom w:w="0" w:type="dxa"/>
        <w:right w:w="115" w:type="dxa"/>
      </w:tblCellMar>
    </w:tblPr>
  </w:style>
  <w:style w:type="table" w:customStyle="1" w:styleId="a3">
    <w:basedOn w:val="TableNormal8"/>
    <w:tblPr>
      <w:tblStyleRowBandSize w:val="1"/>
      <w:tblStyleColBandSize w:val="1"/>
      <w:tblCellMar>
        <w:top w:w="0" w:type="dxa"/>
        <w:left w:w="115" w:type="dxa"/>
        <w:bottom w:w="0" w:type="dxa"/>
        <w:right w:w="115" w:type="dxa"/>
      </w:tblCellMar>
    </w:tblPr>
  </w:style>
  <w:style w:type="table" w:customStyle="1" w:styleId="a4">
    <w:basedOn w:val="TableNormal8"/>
    <w:tblPr>
      <w:tblStyleRowBandSize w:val="1"/>
      <w:tblStyleColBandSize w:val="1"/>
      <w:tblCellMar>
        <w:top w:w="0" w:type="dxa"/>
        <w:left w:w="115" w:type="dxa"/>
        <w:bottom w:w="0" w:type="dxa"/>
        <w:right w:w="115" w:type="dxa"/>
      </w:tblCellMar>
    </w:tblPr>
  </w:style>
  <w:style w:type="table" w:customStyle="1" w:styleId="a5">
    <w:basedOn w:val="TableNormal8"/>
    <w:tblPr>
      <w:tblStyleRowBandSize w:val="1"/>
      <w:tblStyleColBandSize w:val="1"/>
      <w:tblCellMar>
        <w:top w:w="0" w:type="dxa"/>
        <w:left w:w="115" w:type="dxa"/>
        <w:bottom w:w="0" w:type="dxa"/>
        <w:right w:w="115" w:type="dxa"/>
      </w:tblCellMar>
    </w:tblPr>
  </w:style>
  <w:style w:type="table" w:customStyle="1" w:styleId="a6">
    <w:basedOn w:val="TableNormal8"/>
    <w:tblPr>
      <w:tblStyleRowBandSize w:val="1"/>
      <w:tblStyleColBandSize w:val="1"/>
      <w:tblCellMar>
        <w:top w:w="0" w:type="dxa"/>
        <w:left w:w="115" w:type="dxa"/>
        <w:bottom w:w="0" w:type="dxa"/>
        <w:right w:w="115" w:type="dxa"/>
      </w:tblCellMar>
    </w:tblPr>
  </w:style>
  <w:style w:type="table" w:customStyle="1" w:styleId="a7">
    <w:basedOn w:val="TableNormal8"/>
    <w:tblPr>
      <w:tblStyleRowBandSize w:val="1"/>
      <w:tblStyleColBandSize w:val="1"/>
      <w:tblCellMar>
        <w:top w:w="0" w:type="dxa"/>
        <w:left w:w="115" w:type="dxa"/>
        <w:bottom w:w="0" w:type="dxa"/>
        <w:right w:w="115" w:type="dxa"/>
      </w:tblCellMar>
    </w:tblPr>
  </w:style>
  <w:style w:type="table" w:customStyle="1" w:styleId="a8">
    <w:basedOn w:val="TableNormal8"/>
    <w:tblPr>
      <w:tblStyleRowBandSize w:val="1"/>
      <w:tblStyleColBandSize w:val="1"/>
      <w:tblCellMar>
        <w:top w:w="0" w:type="dxa"/>
        <w:left w:w="115" w:type="dxa"/>
        <w:bottom w:w="0" w:type="dxa"/>
        <w:right w:w="115" w:type="dxa"/>
      </w:tblCellMar>
    </w:tblPr>
  </w:style>
  <w:style w:type="table" w:customStyle="1" w:styleId="a9">
    <w:basedOn w:val="TableNormal8"/>
    <w:tblPr>
      <w:tblStyleRowBandSize w:val="1"/>
      <w:tblStyleColBandSize w:val="1"/>
      <w:tblCellMar>
        <w:top w:w="0" w:type="dxa"/>
        <w:left w:w="115" w:type="dxa"/>
        <w:bottom w:w="0" w:type="dxa"/>
        <w:right w:w="115" w:type="dxa"/>
      </w:tblCellMar>
    </w:tblPr>
  </w:style>
  <w:style w:type="table" w:customStyle="1" w:styleId="aa">
    <w:basedOn w:val="TableNormal8"/>
    <w:tblPr>
      <w:tblStyleRowBandSize w:val="1"/>
      <w:tblStyleColBandSize w:val="1"/>
      <w:tblCellMar>
        <w:top w:w="0" w:type="dxa"/>
        <w:left w:w="115" w:type="dxa"/>
        <w:bottom w:w="0" w:type="dxa"/>
        <w:right w:w="115" w:type="dxa"/>
      </w:tblCellMar>
    </w:tblPr>
  </w:style>
  <w:style w:type="table" w:customStyle="1" w:styleId="ab">
    <w:basedOn w:val="TableNormal8"/>
    <w:tblPr>
      <w:tblStyleRowBandSize w:val="1"/>
      <w:tblStyleColBandSize w:val="1"/>
      <w:tblCellMar>
        <w:top w:w="0" w:type="dxa"/>
        <w:left w:w="115" w:type="dxa"/>
        <w:bottom w:w="0" w:type="dxa"/>
        <w:right w:w="115" w:type="dxa"/>
      </w:tblCellMar>
    </w:tblPr>
  </w:style>
  <w:style w:type="table" w:customStyle="1" w:styleId="ac">
    <w:basedOn w:val="TableNormal8"/>
    <w:tblPr>
      <w:tblStyleRowBandSize w:val="1"/>
      <w:tblStyleColBandSize w:val="1"/>
      <w:tblCellMar>
        <w:top w:w="0" w:type="dxa"/>
        <w:left w:w="115" w:type="dxa"/>
        <w:bottom w:w="0" w:type="dxa"/>
        <w:right w:w="115" w:type="dxa"/>
      </w:tblCellMar>
    </w:tblPr>
  </w:style>
  <w:style w:type="table" w:customStyle="1" w:styleId="ad">
    <w:basedOn w:val="TableNormal8"/>
    <w:tblPr>
      <w:tblStyleRowBandSize w:val="1"/>
      <w:tblStyleColBandSize w:val="1"/>
      <w:tblCellMar>
        <w:top w:w="0" w:type="dxa"/>
        <w:left w:w="115" w:type="dxa"/>
        <w:bottom w:w="0" w:type="dxa"/>
        <w:right w:w="115" w:type="dxa"/>
      </w:tblCellMar>
    </w:tblPr>
  </w:style>
  <w:style w:type="table" w:customStyle="1" w:styleId="ae">
    <w:basedOn w:val="TableNormal8"/>
    <w:tblPr>
      <w:tblStyleRowBandSize w:val="1"/>
      <w:tblStyleColBandSize w:val="1"/>
      <w:tblCellMar>
        <w:top w:w="0" w:type="dxa"/>
        <w:left w:w="115" w:type="dxa"/>
        <w:bottom w:w="0" w:type="dxa"/>
        <w:right w:w="115" w:type="dxa"/>
      </w:tblCellMar>
    </w:tblPr>
  </w:style>
  <w:style w:type="table" w:customStyle="1" w:styleId="af">
    <w:basedOn w:val="TableNormal8"/>
    <w:tblPr>
      <w:tblStyleRowBandSize w:val="1"/>
      <w:tblStyleColBandSize w:val="1"/>
      <w:tblCellMar>
        <w:top w:w="0" w:type="dxa"/>
        <w:left w:w="115" w:type="dxa"/>
        <w:bottom w:w="0" w:type="dxa"/>
        <w:right w:w="115" w:type="dxa"/>
      </w:tblCellMar>
    </w:tblPr>
  </w:style>
  <w:style w:type="table" w:customStyle="1" w:styleId="af0">
    <w:basedOn w:val="TableNormal8"/>
    <w:tblPr>
      <w:tblStyleRowBandSize w:val="1"/>
      <w:tblStyleColBandSize w:val="1"/>
      <w:tblCellMar>
        <w:top w:w="0" w:type="dxa"/>
        <w:left w:w="115" w:type="dxa"/>
        <w:bottom w:w="0" w:type="dxa"/>
        <w:right w:w="115" w:type="dxa"/>
      </w:tblCellMar>
    </w:tblPr>
  </w:style>
  <w:style w:type="table" w:customStyle="1" w:styleId="af1">
    <w:basedOn w:val="TableNormal8"/>
    <w:tblPr>
      <w:tblStyleRowBandSize w:val="1"/>
      <w:tblStyleColBandSize w:val="1"/>
      <w:tblCellMar>
        <w:top w:w="0" w:type="dxa"/>
        <w:left w:w="115" w:type="dxa"/>
        <w:bottom w:w="0" w:type="dxa"/>
        <w:right w:w="115" w:type="dxa"/>
      </w:tblCellMar>
    </w:tblPr>
  </w:style>
  <w:style w:type="table" w:customStyle="1" w:styleId="af2">
    <w:basedOn w:val="TableNormal8"/>
    <w:tblPr>
      <w:tblStyleRowBandSize w:val="1"/>
      <w:tblStyleColBandSize w:val="1"/>
      <w:tblCellMar>
        <w:top w:w="0" w:type="dxa"/>
        <w:left w:w="115" w:type="dxa"/>
        <w:bottom w:w="0" w:type="dxa"/>
        <w:right w:w="115" w:type="dxa"/>
      </w:tblCellMar>
    </w:tblPr>
  </w:style>
  <w:style w:type="table" w:customStyle="1" w:styleId="af3">
    <w:basedOn w:val="TableNormal8"/>
    <w:tblPr>
      <w:tblStyleRowBandSize w:val="1"/>
      <w:tblStyleColBandSize w:val="1"/>
      <w:tblCellMar>
        <w:top w:w="0" w:type="dxa"/>
        <w:left w:w="115" w:type="dxa"/>
        <w:bottom w:w="0" w:type="dxa"/>
        <w:right w:w="115" w:type="dxa"/>
      </w:tblCellMar>
    </w:tblPr>
  </w:style>
  <w:style w:type="table" w:customStyle="1" w:styleId="af4">
    <w:basedOn w:val="TableNormal8"/>
    <w:tblPr>
      <w:tblStyleRowBandSize w:val="1"/>
      <w:tblStyleColBandSize w:val="1"/>
      <w:tblCellMar>
        <w:top w:w="0" w:type="dxa"/>
        <w:left w:w="115" w:type="dxa"/>
        <w:bottom w:w="0" w:type="dxa"/>
        <w:right w:w="115" w:type="dxa"/>
      </w:tblCellMar>
    </w:tblPr>
  </w:style>
  <w:style w:type="table" w:customStyle="1" w:styleId="af5">
    <w:basedOn w:val="TableNormal8"/>
    <w:tblPr>
      <w:tblStyleRowBandSize w:val="1"/>
      <w:tblStyleColBandSize w:val="1"/>
      <w:tblCellMar>
        <w:top w:w="0" w:type="dxa"/>
        <w:left w:w="115" w:type="dxa"/>
        <w:bottom w:w="0" w:type="dxa"/>
        <w:right w:w="115" w:type="dxa"/>
      </w:tblCellMar>
    </w:tblPr>
  </w:style>
  <w:style w:type="table" w:customStyle="1" w:styleId="af6">
    <w:basedOn w:val="TableNormal8"/>
    <w:tblPr>
      <w:tblStyleRowBandSize w:val="1"/>
      <w:tblStyleColBandSize w:val="1"/>
      <w:tblCellMar>
        <w:top w:w="0" w:type="dxa"/>
        <w:left w:w="115" w:type="dxa"/>
        <w:bottom w:w="0" w:type="dxa"/>
        <w:right w:w="115" w:type="dxa"/>
      </w:tblCellMar>
    </w:tblPr>
  </w:style>
  <w:style w:type="table" w:customStyle="1" w:styleId="af7">
    <w:basedOn w:val="TableNormal8"/>
    <w:tblPr>
      <w:tblStyleRowBandSize w:val="1"/>
      <w:tblStyleColBandSize w:val="1"/>
      <w:tblCellMar>
        <w:top w:w="0" w:type="dxa"/>
        <w:left w:w="115" w:type="dxa"/>
        <w:bottom w:w="0" w:type="dxa"/>
        <w:right w:w="115" w:type="dxa"/>
      </w:tblCellMar>
    </w:tblPr>
  </w:style>
  <w:style w:type="table" w:customStyle="1" w:styleId="af8">
    <w:basedOn w:val="TableNormal8"/>
    <w:tblPr>
      <w:tblStyleRowBandSize w:val="1"/>
      <w:tblStyleColBandSize w:val="1"/>
      <w:tblCellMar>
        <w:top w:w="0" w:type="dxa"/>
        <w:left w:w="115" w:type="dxa"/>
        <w:bottom w:w="0" w:type="dxa"/>
        <w:right w:w="115" w:type="dxa"/>
      </w:tblCellMar>
    </w:tblPr>
  </w:style>
  <w:style w:type="table" w:customStyle="1" w:styleId="af9">
    <w:basedOn w:val="TableNormal8"/>
    <w:tblPr>
      <w:tblStyleRowBandSize w:val="1"/>
      <w:tblStyleColBandSize w:val="1"/>
      <w:tblCellMar>
        <w:top w:w="0" w:type="dxa"/>
        <w:left w:w="115" w:type="dxa"/>
        <w:bottom w:w="0" w:type="dxa"/>
        <w:right w:w="115" w:type="dxa"/>
      </w:tblCellMar>
    </w:tblPr>
  </w:style>
  <w:style w:type="table" w:customStyle="1" w:styleId="afa">
    <w:basedOn w:val="TableNormal8"/>
    <w:tblPr>
      <w:tblStyleRowBandSize w:val="1"/>
      <w:tblStyleColBandSize w:val="1"/>
      <w:tblCellMar>
        <w:top w:w="0" w:type="dxa"/>
        <w:left w:w="115" w:type="dxa"/>
        <w:bottom w:w="0" w:type="dxa"/>
        <w:right w:w="115" w:type="dxa"/>
      </w:tblCellMar>
    </w:tblPr>
  </w:style>
  <w:style w:type="table" w:customStyle="1" w:styleId="afb">
    <w:basedOn w:val="TableNormal8"/>
    <w:tblPr>
      <w:tblStyleRowBandSize w:val="1"/>
      <w:tblStyleColBandSize w:val="1"/>
      <w:tblCellMar>
        <w:top w:w="0" w:type="dxa"/>
        <w:left w:w="115" w:type="dxa"/>
        <w:bottom w:w="0" w:type="dxa"/>
        <w:right w:w="115" w:type="dxa"/>
      </w:tblCellMar>
    </w:tblPr>
  </w:style>
  <w:style w:type="table" w:customStyle="1" w:styleId="afc">
    <w:basedOn w:val="TableNormal8"/>
    <w:tblPr>
      <w:tblStyleRowBandSize w:val="1"/>
      <w:tblStyleColBandSize w:val="1"/>
      <w:tblCellMar>
        <w:top w:w="0" w:type="dxa"/>
        <w:left w:w="115" w:type="dxa"/>
        <w:bottom w:w="0" w:type="dxa"/>
        <w:right w:w="115" w:type="dxa"/>
      </w:tblCellMar>
    </w:tblPr>
  </w:style>
  <w:style w:type="table" w:customStyle="1" w:styleId="afd">
    <w:basedOn w:val="TableNormal8"/>
    <w:tblPr>
      <w:tblStyleRowBandSize w:val="1"/>
      <w:tblStyleColBandSize w:val="1"/>
      <w:tblCellMar>
        <w:top w:w="0" w:type="dxa"/>
        <w:left w:w="115" w:type="dxa"/>
        <w:bottom w:w="0" w:type="dxa"/>
        <w:right w:w="115" w:type="dxa"/>
      </w:tblCellMar>
    </w:tblPr>
  </w:style>
  <w:style w:type="table" w:customStyle="1" w:styleId="afe">
    <w:basedOn w:val="TableNormal8"/>
    <w:tblPr>
      <w:tblStyleRowBandSize w:val="1"/>
      <w:tblStyleColBandSize w:val="1"/>
      <w:tblCellMar>
        <w:top w:w="0" w:type="dxa"/>
        <w:left w:w="115" w:type="dxa"/>
        <w:bottom w:w="0" w:type="dxa"/>
        <w:right w:w="115" w:type="dxa"/>
      </w:tblCellMar>
    </w:tblPr>
  </w:style>
  <w:style w:type="table" w:customStyle="1" w:styleId="aff">
    <w:basedOn w:val="TableNormal8"/>
    <w:tblPr>
      <w:tblStyleRowBandSize w:val="1"/>
      <w:tblStyleColBandSize w:val="1"/>
      <w:tblCellMar>
        <w:top w:w="0" w:type="dxa"/>
        <w:left w:w="115" w:type="dxa"/>
        <w:bottom w:w="0" w:type="dxa"/>
        <w:right w:w="115" w:type="dxa"/>
      </w:tblCellMar>
    </w:tblPr>
  </w:style>
  <w:style w:type="table" w:customStyle="1" w:styleId="aff0">
    <w:basedOn w:val="TableNormal8"/>
    <w:tblPr>
      <w:tblStyleRowBandSize w:val="1"/>
      <w:tblStyleColBandSize w:val="1"/>
      <w:tblCellMar>
        <w:top w:w="0" w:type="dxa"/>
        <w:left w:w="115" w:type="dxa"/>
        <w:bottom w:w="0" w:type="dxa"/>
        <w:right w:w="115" w:type="dxa"/>
      </w:tblCellMar>
    </w:tblPr>
  </w:style>
  <w:style w:type="table" w:customStyle="1" w:styleId="aff1">
    <w:basedOn w:val="TableNormal8"/>
    <w:tblPr>
      <w:tblStyleRowBandSize w:val="1"/>
      <w:tblStyleColBandSize w:val="1"/>
      <w:tblCellMar>
        <w:top w:w="0" w:type="dxa"/>
        <w:left w:w="115" w:type="dxa"/>
        <w:bottom w:w="0" w:type="dxa"/>
        <w:right w:w="115" w:type="dxa"/>
      </w:tblCellMar>
    </w:tblPr>
  </w:style>
  <w:style w:type="table" w:customStyle="1" w:styleId="aff2">
    <w:basedOn w:val="TableNormal8"/>
    <w:tblPr>
      <w:tblStyleRowBandSize w:val="1"/>
      <w:tblStyleColBandSize w:val="1"/>
      <w:tblCellMar>
        <w:top w:w="0" w:type="dxa"/>
        <w:left w:w="115" w:type="dxa"/>
        <w:bottom w:w="0" w:type="dxa"/>
        <w:right w:w="115"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ff3">
    <w:basedOn w:val="TableNormal8"/>
    <w:tblPr>
      <w:tblStyleRowBandSize w:val="1"/>
      <w:tblStyleColBandSize w:val="1"/>
      <w:tblCellMar>
        <w:top w:w="0" w:type="dxa"/>
        <w:left w:w="115" w:type="dxa"/>
        <w:bottom w:w="0" w:type="dxa"/>
        <w:right w:w="115" w:type="dxa"/>
      </w:tblCellMar>
    </w:tblPr>
  </w:style>
  <w:style w:type="table" w:customStyle="1" w:styleId="aff4">
    <w:basedOn w:val="TableNormal8"/>
    <w:tblPr>
      <w:tblStyleRowBandSize w:val="1"/>
      <w:tblStyleColBandSize w:val="1"/>
      <w:tblCellMar>
        <w:top w:w="0" w:type="dxa"/>
        <w:left w:w="115" w:type="dxa"/>
        <w:bottom w:w="0" w:type="dxa"/>
        <w:right w:w="115" w:type="dxa"/>
      </w:tblCellMar>
    </w:tblPr>
  </w:style>
  <w:style w:type="table" w:customStyle="1" w:styleId="aff5">
    <w:basedOn w:val="TableNormal8"/>
    <w:tblPr>
      <w:tblStyleRowBandSize w:val="1"/>
      <w:tblStyleColBandSize w:val="1"/>
      <w:tblCellMar>
        <w:top w:w="0" w:type="dxa"/>
        <w:left w:w="115" w:type="dxa"/>
        <w:bottom w:w="0" w:type="dxa"/>
        <w:right w:w="115" w:type="dxa"/>
      </w:tblCellMar>
    </w:tblPr>
  </w:style>
  <w:style w:type="table" w:customStyle="1" w:styleId="aff6">
    <w:basedOn w:val="TableNormal8"/>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2UWiRPQ1uMUub6RkEyN6uwE2mA==">CgMxLjAyDmgucm0wOXR5aHdlMmVyMg1oLnhtaGYzZWIyMzIwMg5oLjNicmY0eGU3cmR1NzIOaC55YnN6dGM4ZG1tOWMyCWguMzBqMHpsbDgAciExdnZweXpEOG55ZFZvTXRpSzNnc0hWblNZZGxrY3VvTW4=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632</Words>
  <Characters>3481</Characters>
  <Application>Microsoft Office Word</Application>
  <DocSecurity>0</DocSecurity>
  <Lines>29</Lines>
  <Paragraphs>8</Paragraphs>
  <ScaleCrop>false</ScaleCrop>
  <Company/>
  <LinksUpToDate>false</LinksUpToDate>
  <CharactersWithSpaces>4105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aortiz</dc:creator>
  <cp:lastModifiedBy>Susan Miguelina Patricio De Los Santos</cp:lastModifiedBy>
  <cp:revision>2</cp:revision>
  <dcterms:created xsi:type="dcterms:W3CDTF">2024-07-14T00:00:00Z</dcterms:created>
  <dcterms:modified xsi:type="dcterms:W3CDTF">2026-01-19T18:02:00Z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0x0101000FBBAE96B2A1564E920D823C0288C131</vt:lpwstr>
  </property>
  <property fmtid="{D5CDD505-2E9C-101B-9397-08002B2CF9AE}" pid="3" name="MediaServiceImageTags">
    <vt:lpwstr>MediaServiceImageTags</vt:lpwstr>
  </property>
</Properties>
</file>