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3060.0" w:type="dxa"/>
        <w:jc w:val="left"/>
        <w:tblInd w:w="67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0"/>
        <w:gridCol w:w="1860"/>
        <w:tblGridChange w:id="0">
          <w:tblGrid>
            <w:gridCol w:w="1200"/>
            <w:gridCol w:w="1860"/>
          </w:tblGrid>
        </w:tblGridChange>
      </w:tblGrid>
      <w:tr>
        <w:trPr>
          <w:cantSplit w:val="0"/>
          <w:trHeight w:val="442" w:hRule="atLeast"/>
          <w:tblHeader w:val="0"/>
        </w:trPr>
        <w:tc>
          <w:tcPr>
            <w:tcBorders>
              <w:top w:color="000000" w:space="0" w:sz="4" w:val="single"/>
              <w:left w:color="000000" w:space="0" w:sz="4" w:val="single"/>
              <w:bottom w:color="000000" w:space="0" w:sz="0" w:val="nil"/>
              <w:right w:color="000000" w:space="0" w:sz="4" w:val="single"/>
            </w:tcBorders>
            <w:shd w:fill="0c5277" w:val="clear"/>
            <w:vAlign w:val="center"/>
          </w:tcPr>
          <w:p w:rsidR="00000000" w:rsidDel="00000000" w:rsidP="00000000" w:rsidRDefault="00000000" w:rsidRPr="00000000" w14:paraId="00000002">
            <w:pPr>
              <w:tabs>
                <w:tab w:val="left" w:leader="none" w:pos="3540"/>
              </w:tabs>
              <w:jc w:val="center"/>
              <w:rPr>
                <w:rFonts w:ascii="Rockwell" w:cs="Rockwell" w:eastAsia="Rockwell" w:hAnsi="Rockwell"/>
                <w:b w:val="1"/>
                <w:bCs w:val="1"/>
                <w:color w:val="0f243e"/>
                <w:sz w:val="22"/>
                <w:szCs w:val="22"/>
              </w:rPr>
            </w:pPr>
            <w:r w:rsidDel="00000000" w:rsidR="00000000" w:rsidRPr="00000000">
              <w:rPr>
                <w:rFonts w:ascii="Rockwell" w:cs="Rockwell" w:eastAsia="Rockwell" w:hAnsi="Rockwell"/>
                <w:b w:val="1"/>
                <w:bCs w:val="1"/>
                <w:color w:val="ffffff"/>
                <w:sz w:val="22"/>
                <w:szCs w:val="22"/>
                <w:rtl w:val="0"/>
              </w:rPr>
              <w:t xml:space="preserve">FECHA:</w:t>
            </w:r>
            <w:r w:rsidDel="00000000" w:rsidR="00000000" w:rsidRPr="00000000">
              <w:rPr>
                <w:rtl w:val="0"/>
              </w:rPr>
            </w:r>
          </w:p>
        </w:tc>
        <w:tc>
          <w:tcPr>
            <w:tcBorders>
              <w:top w:color="000000" w:space="0" w:sz="4" w:val="single"/>
              <w:left w:color="000000" w:space="0" w:sz="4" w:val="single"/>
              <w:bottom w:color="000000" w:space="0" w:sz="6" w:val="single"/>
              <w:right w:color="000000" w:space="0" w:sz="4" w:val="single"/>
            </w:tcBorders>
            <w:vAlign w:val="center"/>
          </w:tcPr>
          <w:p w:rsidR="00000000" w:rsidDel="00000000" w:rsidP="00000000" w:rsidRDefault="00000000" w:rsidRPr="00000000" w14:paraId="00000003">
            <w:pPr>
              <w:tabs>
                <w:tab w:val="left" w:leader="none" w:pos="3540"/>
              </w:tabs>
              <w:rPr>
                <w:rFonts w:ascii="Rockwell" w:cs="Rockwell" w:eastAsia="Rockwell" w:hAnsi="Rockwell"/>
                <w:color w:val="0f243e"/>
                <w:sz w:val="22"/>
                <w:szCs w:val="22"/>
              </w:rPr>
            </w:pPr>
            <w:r w:rsidDel="00000000" w:rsidR="00000000" w:rsidRPr="00000000">
              <w:rPr>
                <w:color w:val="0f243e"/>
                <w:rtl w:val="0"/>
              </w:rPr>
              <w:t xml:space="preserve">30/06/2026</w:t>
            </w:r>
            <w:r w:rsidDel="00000000" w:rsidR="00000000" w:rsidRPr="00000000">
              <w:rPr>
                <w:rFonts w:ascii="Rockwell" w:cs="Rockwell" w:eastAsia="Rockwell" w:hAnsi="Rockwell"/>
                <w:color w:val="0f243e"/>
                <w:sz w:val="22"/>
                <w:szCs w:val="22"/>
                <w:rtl w:val="0"/>
              </w:rPr>
              <w:t xml:space="preserve"> </w:t>
            </w:r>
          </w:p>
        </w:tc>
      </w:tr>
    </w:tbl>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76" w:lineRule="auto"/>
        <w:rPr>
          <w:rFonts w:ascii="Rockwell" w:cs="Rockwell" w:eastAsia="Rockwell" w:hAnsi="Rockwell"/>
          <w:b w:val="1"/>
          <w:bCs w:val="1"/>
          <w:color w:val="0f243e"/>
          <w:sz w:val="22"/>
          <w:szCs w:val="22"/>
        </w:rPr>
      </w:pPr>
      <w:r w:rsidDel="00000000" w:rsidR="00000000" w:rsidRPr="00000000">
        <w:rPr>
          <w:rtl w:val="0"/>
        </w:rPr>
      </w:r>
    </w:p>
    <w:tbl>
      <w:tblPr>
        <w:tblStyle w:val="Table2"/>
        <w:tblW w:w="10916.0" w:type="dxa"/>
        <w:jc w:val="left"/>
        <w:tblInd w:w="-9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1418"/>
        <w:gridCol w:w="567"/>
        <w:gridCol w:w="425"/>
        <w:gridCol w:w="7513"/>
        <w:tblGridChange w:id="0">
          <w:tblGrid>
            <w:gridCol w:w="993"/>
            <w:gridCol w:w="1418"/>
            <w:gridCol w:w="567"/>
            <w:gridCol w:w="425"/>
            <w:gridCol w:w="7513"/>
          </w:tblGrid>
        </w:tblGridChange>
      </w:tblGrid>
      <w:tr>
        <w:trPr>
          <w:cantSplit w:val="0"/>
          <w:trHeight w:val="370" w:hRule="atLeast"/>
          <w:tblHeader w:val="0"/>
        </w:trPr>
        <w:tc>
          <w:tcPr>
            <w:gridSpan w:val="5"/>
            <w:tcBorders>
              <w:top w:color="000000" w:space="0" w:sz="4" w:val="single"/>
              <w:left w:color="000000" w:space="0" w:sz="4" w:val="single"/>
              <w:bottom w:color="000000" w:space="0" w:sz="4" w:val="single"/>
              <w:right w:color="000000" w:space="0" w:sz="4" w:val="single"/>
            </w:tcBorders>
            <w:shd w:fill="0c5277" w:val="clear"/>
            <w:vAlign w:val="center"/>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290" w:firstLine="0"/>
              <w:jc w:val="center"/>
              <w:rPr>
                <w:rFonts w:ascii="Rockwell" w:cs="Rockwell" w:eastAsia="Rockwell" w:hAnsi="Rockwell"/>
                <w:b w:val="1"/>
                <w:bCs w:val="1"/>
                <w:color w:val="ffffff"/>
              </w:rPr>
            </w:pPr>
            <w:r w:rsidDel="00000000" w:rsidR="00000000" w:rsidRPr="00000000">
              <w:rPr>
                <w:rFonts w:ascii="Rockwell" w:cs="Rockwell" w:eastAsia="Rockwell" w:hAnsi="Rockwell"/>
                <w:b w:val="1"/>
                <w:bCs w:val="1"/>
                <w:color w:val="ffffff"/>
                <w:rtl w:val="0"/>
              </w:rPr>
              <w:t xml:space="preserve">DATOS GENERALES</w:t>
            </w:r>
          </w:p>
        </w:tc>
      </w:tr>
      <w:tr>
        <w:trPr>
          <w:cantSplit w:val="0"/>
          <w:trHeight w:val="299" w:hRule="atLeast"/>
          <w:tblHeader w:val="0"/>
        </w:trPr>
        <w:tc>
          <w:tcPr>
            <w:gridSpan w:val="5"/>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A">
            <w:pPr>
              <w:rPr>
                <w:rFonts w:ascii="Rockwell" w:cs="Rockwell" w:eastAsia="Rockwell" w:hAnsi="Rockwell"/>
                <w:color w:val="000000"/>
              </w:rPr>
            </w:pPr>
            <w:r w:rsidDel="00000000" w:rsidR="00000000" w:rsidRPr="00000000">
              <w:rPr>
                <w:rFonts w:ascii="Rockwell" w:cs="Rockwell" w:eastAsia="Rockwell" w:hAnsi="Rockwell"/>
                <w:b w:val="1"/>
                <w:bCs w:val="1"/>
                <w:color w:val="000000"/>
                <w:sz w:val="26"/>
                <w:szCs w:val="26"/>
                <w:rtl w:val="0"/>
              </w:rPr>
              <w:t xml:space="preserve">Lugar:</w:t>
            </w:r>
            <w:r w:rsidDel="00000000" w:rsidR="00000000" w:rsidRPr="00000000">
              <w:rPr>
                <w:rFonts w:ascii="Rockwell" w:cs="Rockwell" w:eastAsia="Rockwell" w:hAnsi="Rockwell"/>
                <w:color w:val="000000"/>
                <w:rtl w:val="0"/>
              </w:rPr>
              <w:t xml:space="preserve">    DCSNS </w:t>
            </w:r>
            <w:r w:rsidDel="00000000" w:rsidR="00000000" w:rsidRPr="00000000">
              <w:rPr>
                <w:rFonts w:ascii="MS Gothic" w:cs="MS Gothic" w:eastAsia="MS Gothic" w:hAnsi="MS Gothic"/>
                <w:color w:val="000000"/>
                <w:rtl w:val="0"/>
              </w:rPr>
              <w:t xml:space="preserve">☐</w:t>
            </w:r>
            <w:r w:rsidDel="00000000" w:rsidR="00000000" w:rsidRPr="00000000">
              <w:rPr>
                <w:rFonts w:ascii="Rockwell" w:cs="Rockwell" w:eastAsia="Rockwell" w:hAnsi="Rockwell"/>
                <w:color w:val="000000"/>
                <w:rtl w:val="0"/>
              </w:rPr>
              <w:t xml:space="preserve">  SRS </w:t>
            </w:r>
            <w:r w:rsidDel="00000000" w:rsidR="00000000" w:rsidRPr="00000000">
              <w:rPr>
                <w:rFonts w:ascii="MS Gothic" w:cs="MS Gothic" w:eastAsia="MS Gothic" w:hAnsi="MS Gothic"/>
                <w:color w:val="000000"/>
                <w:rtl w:val="0"/>
              </w:rPr>
              <w:t xml:space="preserve">☐</w:t>
            </w:r>
            <w:r w:rsidDel="00000000" w:rsidR="00000000" w:rsidRPr="00000000">
              <w:rPr>
                <w:rFonts w:ascii="Rockwell" w:cs="Rockwell" w:eastAsia="Rockwell" w:hAnsi="Rockwell"/>
                <w:color w:val="000000"/>
                <w:rtl w:val="0"/>
              </w:rPr>
              <w:t xml:space="preserve">  Hospital </w:t>
            </w:r>
            <w:r w:rsidDel="00000000" w:rsidR="00000000" w:rsidRPr="00000000">
              <w:rPr>
                <w:rFonts w:ascii="MS Gothic" w:cs="MS Gothic" w:eastAsia="MS Gothic" w:hAnsi="MS Gothic"/>
                <w:color w:val="000000"/>
                <w:rtl w:val="0"/>
              </w:rPr>
              <w:t xml:space="preserve">☒</w:t>
            </w:r>
            <w:r w:rsidDel="00000000" w:rsidR="00000000" w:rsidRPr="00000000">
              <w:rPr>
                <w:rFonts w:ascii="Rockwell" w:cs="Rockwell" w:eastAsia="Rockwell" w:hAnsi="Rockwell"/>
                <w:color w:val="000000"/>
                <w:rtl w:val="0"/>
              </w:rPr>
              <w:t xml:space="preserve">  CPN </w:t>
            </w:r>
            <w:r w:rsidDel="00000000" w:rsidR="00000000" w:rsidRPr="00000000">
              <w:rPr>
                <w:rFonts w:ascii="MS Gothic" w:cs="MS Gothic" w:eastAsia="MS Gothic" w:hAnsi="MS Gothic"/>
                <w:color w:val="000000"/>
                <w:rtl w:val="0"/>
              </w:rPr>
              <w:t xml:space="preserve">☐</w:t>
            </w:r>
            <w:r w:rsidDel="00000000" w:rsidR="00000000" w:rsidRPr="00000000">
              <w:rPr>
                <w:rFonts w:ascii="Rockwell" w:cs="Rockwell" w:eastAsia="Rockwell" w:hAnsi="Rockwell"/>
                <w:color w:val="000000"/>
                <w:rtl w:val="0"/>
              </w:rPr>
              <w:t xml:space="preserve">     </w:t>
            </w:r>
          </w:p>
        </w:tc>
      </w:tr>
      <w:tr>
        <w:trPr>
          <w:cantSplit w:val="0"/>
          <w:trHeight w:val="299" w:hRule="atLeast"/>
          <w:tblHeader w:val="0"/>
        </w:trPr>
        <w:tc>
          <w:tcPr>
            <w:gridSpan w:val="2"/>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00F">
            <w:pPr>
              <w:rPr>
                <w:rFonts w:ascii="Rockwell" w:cs="Rockwell" w:eastAsia="Rockwell" w:hAnsi="Rockwell"/>
                <w:b w:val="1"/>
                <w:bCs w:val="1"/>
                <w:color w:val="000000"/>
                <w:sz w:val="26"/>
                <w:szCs w:val="26"/>
              </w:rPr>
            </w:pPr>
            <w:r w:rsidDel="00000000" w:rsidR="00000000" w:rsidRPr="00000000">
              <w:rPr>
                <w:rFonts w:ascii="Rockwell" w:cs="Rockwell" w:eastAsia="Rockwell" w:hAnsi="Rockwell"/>
                <w:color w:val="000000"/>
                <w:rtl w:val="0"/>
              </w:rPr>
              <w:t xml:space="preserve">*Nombre del lugar:</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1">
            <w:pPr>
              <w:rPr/>
            </w:pPr>
            <w:r w:rsidDel="00000000" w:rsidR="00000000" w:rsidRPr="00000000">
              <w:rPr>
                <w:rtl w:val="0"/>
              </w:rPr>
              <w:t xml:space="preserve">Hospital Regional Taiwán</w:t>
            </w:r>
          </w:p>
        </w:tc>
      </w:tr>
      <w:tr>
        <w:trPr>
          <w:cantSplit w:val="0"/>
          <w:trHeight w:val="370"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014">
            <w:pPr>
              <w:rPr>
                <w:rFonts w:ascii="Rockwell" w:cs="Rockwell" w:eastAsia="Rockwell" w:hAnsi="Rockwell"/>
              </w:rPr>
            </w:pPr>
            <w:r w:rsidDel="00000000" w:rsidR="00000000" w:rsidRPr="00000000">
              <w:rPr>
                <w:rFonts w:ascii="Rockwell" w:cs="Rockwell" w:eastAsia="Rockwell" w:hAnsi="Rockwell"/>
                <w:b w:val="1"/>
                <w:bCs w:val="1"/>
                <w:sz w:val="26"/>
                <w:szCs w:val="26"/>
                <w:rtl w:val="0"/>
              </w:rPr>
              <w:t xml:space="preserve">Área</w:t>
            </w:r>
            <w:r w:rsidDel="00000000" w:rsidR="00000000" w:rsidRPr="00000000">
              <w:rPr>
                <w:rFonts w:ascii="Rockwell" w:cs="Rockwell" w:eastAsia="Rockwell" w:hAnsi="Rockwell"/>
                <w:rtl w:val="0"/>
              </w:rPr>
              <w:t xml:space="preserve">:</w:t>
            </w:r>
          </w:p>
        </w:tc>
        <w:tc>
          <w:tcPr>
            <w:gridSpan w:val="4"/>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5">
            <w:pPr>
              <w:rPr>
                <w:sz w:val="26"/>
                <w:szCs w:val="26"/>
              </w:rPr>
            </w:pPr>
            <w:r w:rsidDel="00000000" w:rsidR="00000000" w:rsidRPr="00000000">
              <w:rPr>
                <w:rtl w:val="0"/>
              </w:rPr>
              <w:t xml:space="preserve">Planificación y Desarrollo</w:t>
            </w:r>
            <w:r w:rsidDel="00000000" w:rsidR="00000000" w:rsidRPr="00000000">
              <w:rPr>
                <w:rtl w:val="0"/>
              </w:rPr>
            </w:r>
          </w:p>
        </w:tc>
      </w:tr>
      <w:tr>
        <w:trPr>
          <w:cantSplit w:val="0"/>
          <w:trHeight w:val="373" w:hRule="atLeast"/>
          <w:tblHeader w:val="0"/>
        </w:trPr>
        <w:tc>
          <w:tcPr>
            <w:gridSpan w:val="4"/>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Rockwell" w:cs="Rockwell" w:eastAsia="Rockwell" w:hAnsi="Rockwell"/>
                <w:b w:val="1"/>
                <w:bCs w:val="1"/>
                <w:color w:val="000000"/>
                <w:sz w:val="26"/>
                <w:szCs w:val="26"/>
              </w:rPr>
            </w:pPr>
            <w:r w:rsidDel="00000000" w:rsidR="00000000" w:rsidRPr="00000000">
              <w:rPr>
                <w:rFonts w:ascii="Rockwell" w:cs="Rockwell" w:eastAsia="Rockwell" w:hAnsi="Rockwell"/>
                <w:b w:val="1"/>
                <w:bCs w:val="1"/>
                <w:color w:val="000000"/>
                <w:sz w:val="26"/>
                <w:szCs w:val="26"/>
                <w:rtl w:val="0"/>
              </w:rPr>
              <w:t xml:space="preserve">Nombre de la Actividad:</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D">
            <w:pPr>
              <w:rPr>
                <w:color w:val="000000"/>
                <w:sz w:val="26"/>
                <w:szCs w:val="26"/>
              </w:rPr>
            </w:pPr>
            <w:r w:rsidDel="00000000" w:rsidR="00000000" w:rsidRPr="00000000">
              <w:rPr>
                <w:rtl w:val="0"/>
              </w:rPr>
              <w:t xml:space="preserve">Autoevaluación</w:t>
            </w:r>
            <w:r w:rsidDel="00000000" w:rsidR="00000000" w:rsidRPr="00000000">
              <w:rPr>
                <w:rtl w:val="0"/>
              </w:rPr>
              <w:t xml:space="preserve"> POA T2 ( 2026)</w:t>
            </w:r>
            <w:r w:rsidDel="00000000" w:rsidR="00000000" w:rsidRPr="00000000">
              <w:rPr>
                <w:rtl w:val="0"/>
              </w:rPr>
            </w:r>
          </w:p>
        </w:tc>
      </w:tr>
      <w:tr>
        <w:trPr>
          <w:cantSplit w:val="0"/>
          <w:trHeight w:val="370" w:hRule="atLeast"/>
          <w:tblHeader w:val="0"/>
        </w:trPr>
        <w:tc>
          <w:tcPr>
            <w:gridSpan w:val="3"/>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Rockwell" w:cs="Rockwell" w:eastAsia="Rockwell" w:hAnsi="Rockwell"/>
                <w:b w:val="1"/>
                <w:bCs w:val="1"/>
                <w:color w:val="000000"/>
                <w:sz w:val="26"/>
                <w:szCs w:val="26"/>
              </w:rPr>
            </w:pPr>
            <w:r w:rsidDel="00000000" w:rsidR="00000000" w:rsidRPr="00000000">
              <w:rPr>
                <w:rFonts w:ascii="Rockwell" w:cs="Rockwell" w:eastAsia="Rockwell" w:hAnsi="Rockwell"/>
                <w:b w:val="1"/>
                <w:bCs w:val="1"/>
                <w:color w:val="000000"/>
                <w:sz w:val="26"/>
                <w:szCs w:val="26"/>
                <w:rtl w:val="0"/>
              </w:rPr>
              <w:t xml:space="preserve">Código POA </w:t>
            </w:r>
            <w:r w:rsidDel="00000000" w:rsidR="00000000" w:rsidRPr="00000000">
              <w:rPr>
                <w:rFonts w:ascii="Rockwell" w:cs="Rockwell" w:eastAsia="Rockwell" w:hAnsi="Rockwell"/>
                <w:b w:val="1"/>
                <w:bCs w:val="1"/>
                <w:color w:val="000000"/>
                <w:rtl w:val="0"/>
              </w:rPr>
              <w:t xml:space="preserve">(</w:t>
            </w:r>
            <w:r w:rsidDel="00000000" w:rsidR="00000000" w:rsidRPr="00000000">
              <w:rPr>
                <w:rFonts w:ascii="Rockwell" w:cs="Rockwell" w:eastAsia="Rockwell" w:hAnsi="Rockwell"/>
                <w:b w:val="1"/>
                <w:bCs w:val="1"/>
                <w:color w:val="000000"/>
                <w:sz w:val="18"/>
                <w:szCs w:val="18"/>
                <w:rtl w:val="0"/>
              </w:rPr>
              <w:t xml:space="preserve">Si aplica</w:t>
            </w:r>
            <w:r w:rsidDel="00000000" w:rsidR="00000000" w:rsidRPr="00000000">
              <w:rPr>
                <w:rFonts w:ascii="Rockwell" w:cs="Rockwell" w:eastAsia="Rockwell" w:hAnsi="Rockwell"/>
                <w:b w:val="1"/>
                <w:bCs w:val="1"/>
                <w:color w:val="000000"/>
                <w:rtl w:val="0"/>
              </w:rPr>
              <w:t xml:space="preserv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1">
            <w:pPr>
              <w:rPr>
                <w:color w:val="000000"/>
                <w:sz w:val="30"/>
                <w:szCs w:val="30"/>
              </w:rPr>
            </w:pPr>
            <w:bookmarkStart w:colFirst="0" w:colLast="0" w:name="_heading=h.gjdgxs" w:id="0"/>
            <w:bookmarkEnd w:id="0"/>
            <w:r w:rsidDel="00000000" w:rsidR="00000000" w:rsidRPr="00000000">
              <w:rPr>
                <w:rtl w:val="0"/>
              </w:rPr>
              <w:t xml:space="preserve">HRT 3.1.6.03</w:t>
            </w:r>
            <w:r w:rsidDel="00000000" w:rsidR="00000000" w:rsidRPr="00000000">
              <w:rPr>
                <w:rtl w:val="0"/>
              </w:rPr>
            </w:r>
          </w:p>
        </w:tc>
      </w:tr>
      <w:tr>
        <w:trPr>
          <w:cantSplit w:val="0"/>
          <w:trHeight w:val="210" w:hRule="atLeast"/>
          <w:tblHeader w:val="0"/>
        </w:trPr>
        <w:tc>
          <w:tcPr>
            <w:gridSpan w:val="5"/>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Rockwell" w:cs="Rockwell" w:eastAsia="Rockwell" w:hAnsi="Rockwell"/>
                <w:b w:val="1"/>
                <w:bCs w:val="1"/>
                <w:color w:val="000000"/>
                <w:sz w:val="26"/>
                <w:szCs w:val="26"/>
              </w:rPr>
            </w:pPr>
            <w:r w:rsidDel="00000000" w:rsidR="00000000" w:rsidRPr="00000000">
              <w:rPr>
                <w:rtl w:val="0"/>
              </w:rPr>
            </w:r>
          </w:p>
        </w:tc>
      </w:tr>
      <w:tr>
        <w:trPr>
          <w:cantSplit w:val="0"/>
          <w:trHeight w:val="370" w:hRule="atLeast"/>
          <w:tblHeader w:val="0"/>
        </w:trPr>
        <w:tc>
          <w:tcPr>
            <w:gridSpan w:val="5"/>
            <w:tcBorders>
              <w:top w:color="000000" w:space="0" w:sz="4" w:val="single"/>
              <w:left w:color="000000" w:space="0" w:sz="4" w:val="single"/>
              <w:bottom w:color="000000" w:space="0" w:sz="4" w:val="single"/>
              <w:right w:color="000000" w:space="0" w:sz="4" w:val="single"/>
            </w:tcBorders>
            <w:shd w:fill="0c5277" w:val="clear"/>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ind w:left="290" w:firstLine="0"/>
              <w:jc w:val="center"/>
              <w:rPr>
                <w:rFonts w:ascii="Rockwell" w:cs="Rockwell" w:eastAsia="Rockwell" w:hAnsi="Rockwell"/>
                <w:b w:val="1"/>
                <w:bCs w:val="1"/>
                <w:color w:val="ffffff"/>
                <w:sz w:val="30"/>
                <w:szCs w:val="30"/>
              </w:rPr>
            </w:pPr>
            <w:r w:rsidDel="00000000" w:rsidR="00000000" w:rsidRPr="00000000">
              <w:rPr>
                <w:rFonts w:ascii="Rockwell" w:cs="Rockwell" w:eastAsia="Rockwell" w:hAnsi="Rockwell"/>
                <w:b w:val="1"/>
                <w:bCs w:val="1"/>
                <w:color w:val="ffffff"/>
                <w:rtl w:val="0"/>
              </w:rPr>
              <w:t xml:space="preserve">INTRODUCCIÓN</w:t>
            </w:r>
            <w:r w:rsidDel="00000000" w:rsidR="00000000" w:rsidRPr="00000000">
              <w:rPr>
                <w:rtl w:val="0"/>
              </w:rPr>
            </w:r>
          </w:p>
        </w:tc>
      </w:tr>
      <w:tr>
        <w:trPr>
          <w:cantSplit w:val="0"/>
          <w:trHeight w:val="648"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jc w:val="both"/>
              <w:rPr>
                <w:sz w:val="26"/>
                <w:szCs w:val="26"/>
              </w:rPr>
            </w:pPr>
            <w:r w:rsidDel="00000000" w:rsidR="00000000" w:rsidRPr="00000000">
              <w:rPr>
                <w:sz w:val="26"/>
                <w:szCs w:val="26"/>
                <w:rtl w:val="0"/>
              </w:rPr>
              <w:t xml:space="preserve">La Autoevaluación del Plan Operativo Anual (POA) correspondiente al segundo trimestre del año 2026 constituye un proceso esencial para el seguimiento y evaluación del cumplimiento de las actividades estratégicas programadas por las diferentes áreas del Hospital Regional Taiwán 19 de Marzo. Esta evaluación permite verificar el nivel de ejecución de las acciones planificadas, medir su efectividad y fortalecer la cultura de mejora continua mediante el análisis de los resultados alcanzados.</w:t>
            </w:r>
          </w:p>
          <w:p w:rsidR="00000000" w:rsidDel="00000000" w:rsidP="00000000" w:rsidRDefault="00000000" w:rsidRPr="00000000" w14:paraId="0000002E">
            <w:pPr>
              <w:jc w:val="both"/>
              <w:rPr>
                <w:sz w:val="26"/>
                <w:szCs w:val="26"/>
              </w:rPr>
            </w:pPr>
            <w:r w:rsidDel="00000000" w:rsidR="00000000" w:rsidRPr="00000000">
              <w:rPr>
                <w:sz w:val="26"/>
                <w:szCs w:val="26"/>
                <w:rtl w:val="0"/>
              </w:rPr>
              <w:t xml:space="preserve">Durante el período comprendido entre abril y junio de 2026, los diferentes departamentos desarrollaron las actividades establecidas en su planificación operativa, evidenciando el compromiso institucional con el fortalecimiento de la calidad de los servicios de salud, el cumplimiento de las metas institucionales y la implementación de las estrategias orientadas a garantizar una atención oportuna, segura y de calidad.</w:t>
            </w:r>
          </w:p>
          <w:p w:rsidR="00000000" w:rsidDel="00000000" w:rsidP="00000000" w:rsidRDefault="00000000" w:rsidRPr="00000000" w14:paraId="0000002F">
            <w:pPr>
              <w:jc w:val="both"/>
              <w:rPr>
                <w:sz w:val="26"/>
                <w:szCs w:val="26"/>
              </w:rPr>
            </w:pPr>
            <w:r w:rsidDel="00000000" w:rsidR="00000000" w:rsidRPr="00000000">
              <w:rPr>
                <w:sz w:val="26"/>
                <w:szCs w:val="26"/>
                <w:rtl w:val="0"/>
              </w:rPr>
              <w:t xml:space="preserve">Los resultados obtenidos reflejan una adecuada coordinación entre las áreas responsables, una gestión eficiente del seguimiento institucional y el cumplimiento de los lineamientos establecidos para el desarrollo del Plan Operativo Anual.</w:t>
            </w:r>
          </w:p>
        </w:tc>
      </w:tr>
    </w:tbl>
    <w:p w:rsidR="00000000" w:rsidDel="00000000" w:rsidP="00000000" w:rsidRDefault="00000000" w:rsidRPr="00000000" w14:paraId="00000034">
      <w:pPr>
        <w:spacing w:line="168" w:lineRule="auto"/>
        <w:jc w:val="center"/>
        <w:rPr>
          <w:rFonts w:ascii="Rockwell" w:cs="Rockwell" w:eastAsia="Rockwell" w:hAnsi="Rockwell"/>
        </w:rPr>
      </w:pPr>
      <w:r w:rsidDel="00000000" w:rsidR="00000000" w:rsidRPr="00000000">
        <w:rPr>
          <w:rtl w:val="0"/>
        </w:rPr>
      </w:r>
    </w:p>
    <w:tbl>
      <w:tblPr>
        <w:tblStyle w:val="Table3"/>
        <w:tblW w:w="10916.0" w:type="dxa"/>
        <w:jc w:val="left"/>
        <w:tblInd w:w="-9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16"/>
        <w:tblGridChange w:id="0">
          <w:tblGrid>
            <w:gridCol w:w="10916"/>
          </w:tblGrid>
        </w:tblGridChange>
      </w:tblGrid>
      <w:tr>
        <w:trPr>
          <w:cantSplit w:val="0"/>
          <w:trHeight w:val="315" w:hRule="atLeast"/>
          <w:tblHeader w:val="0"/>
        </w:trPr>
        <w:tc>
          <w:tcPr>
            <w:shd w:fill="0c5277" w:val="cle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ind w:left="289" w:firstLine="0"/>
              <w:jc w:val="center"/>
              <w:rPr>
                <w:rFonts w:ascii="Rockwell" w:cs="Rockwell" w:eastAsia="Rockwell" w:hAnsi="Rockwell"/>
                <w:b w:val="1"/>
                <w:bCs w:val="1"/>
                <w:color w:val="ffffff"/>
              </w:rPr>
            </w:pPr>
            <w:r w:rsidDel="00000000" w:rsidR="00000000" w:rsidRPr="00000000">
              <w:rPr>
                <w:rFonts w:ascii="Rockwell" w:cs="Rockwell" w:eastAsia="Rockwell" w:hAnsi="Rockwell"/>
                <w:b w:val="1"/>
                <w:bCs w:val="1"/>
                <w:color w:val="ffffff"/>
                <w:rtl w:val="0"/>
              </w:rPr>
              <w:t xml:space="preserve">OBJETIVO DEL INFORME</w:t>
            </w:r>
          </w:p>
        </w:tc>
      </w:tr>
      <w:tr>
        <w:trPr>
          <w:cantSplit w:val="0"/>
          <w:trHeight w:val="589" w:hRule="atLeast"/>
          <w:tblHeader w:val="0"/>
        </w:trPr>
        <w:tc>
          <w:tcPr/>
          <w:p w:rsidR="00000000" w:rsidDel="00000000" w:rsidP="00000000" w:rsidRDefault="00000000" w:rsidRPr="00000000" w14:paraId="00000036">
            <w:pPr>
              <w:spacing w:line="276" w:lineRule="auto"/>
              <w:jc w:val="both"/>
              <w:rPr>
                <w:color w:val="000000"/>
                <w:sz w:val="28"/>
                <w:szCs w:val="28"/>
              </w:rPr>
            </w:pPr>
            <w:r w:rsidDel="00000000" w:rsidR="00000000" w:rsidRPr="00000000">
              <w:rPr>
                <w:sz w:val="26"/>
                <w:szCs w:val="26"/>
                <w:rtl w:val="0"/>
              </w:rPr>
              <w:t xml:space="preserve">Evaluar el nivel de cumplimiento de las actividades programadas en el Plan Operativo Anual (POA) durante el segundo trimestre del año 2026, verificando su ejecución, efectividad y cumplimiento de los objetivos institucionales establecidos. </w:t>
            </w:r>
            <w:r w:rsidDel="00000000" w:rsidR="00000000" w:rsidRPr="00000000">
              <w:rPr>
                <w:rtl w:val="0"/>
              </w:rPr>
            </w:r>
          </w:p>
        </w:tc>
      </w:tr>
      <w:tr>
        <w:trPr>
          <w:cantSplit w:val="0"/>
          <w:trHeight w:val="342" w:hRule="atLeast"/>
          <w:tblHeader w:val="0"/>
        </w:trPr>
        <w:tc>
          <w:tcPr>
            <w:tcBorders>
              <w:left w:color="000000" w:space="0" w:sz="0" w:val="nil"/>
              <w:bottom w:color="000000" w:space="0" w:sz="4" w:val="single"/>
              <w:right w:color="000000" w:space="0" w:sz="0" w:val="nil"/>
            </w:tcBorders>
            <w:vAlign w:val="center"/>
          </w:tcPr>
          <w:p w:rsidR="00000000" w:rsidDel="00000000" w:rsidP="00000000" w:rsidRDefault="00000000" w:rsidRPr="00000000" w14:paraId="00000037">
            <w:pPr>
              <w:spacing w:line="168" w:lineRule="auto"/>
              <w:rPr>
                <w:rFonts w:ascii="Rockwell" w:cs="Rockwell" w:eastAsia="Rockwell" w:hAnsi="Rockwell"/>
                <w:sz w:val="16"/>
                <w:szCs w:val="16"/>
              </w:rPr>
            </w:pPr>
            <w:r w:rsidDel="00000000" w:rsidR="00000000" w:rsidRPr="00000000">
              <w:rPr>
                <w:rtl w:val="0"/>
              </w:rPr>
            </w:r>
          </w:p>
        </w:tc>
      </w:tr>
      <w:tr>
        <w:trPr>
          <w:cantSplit w:val="0"/>
          <w:trHeight w:val="345" w:hRule="atLeast"/>
          <w:tblHeader w:val="0"/>
        </w:trPr>
        <w:tc>
          <w:tcPr>
            <w:tcBorders>
              <w:left w:color="000000" w:space="0" w:sz="0" w:val="nil"/>
              <w:bottom w:color="000000" w:space="0" w:sz="4" w:val="single"/>
              <w:right w:color="000000" w:space="0" w:sz="0" w:val="nil"/>
            </w:tcBorders>
            <w:shd w:fill="0c5277" w:val="clear"/>
            <w:vAlign w:val="center"/>
          </w:tcPr>
          <w:p w:rsidR="00000000" w:rsidDel="00000000" w:rsidP="00000000" w:rsidRDefault="00000000" w:rsidRPr="00000000" w14:paraId="00000038">
            <w:pPr>
              <w:jc w:val="center"/>
              <w:rPr>
                <w:rFonts w:ascii="Rockwell" w:cs="Rockwell" w:eastAsia="Rockwell" w:hAnsi="Rockwell"/>
                <w:sz w:val="16"/>
                <w:szCs w:val="16"/>
              </w:rPr>
            </w:pPr>
            <w:r w:rsidDel="00000000" w:rsidR="00000000" w:rsidRPr="00000000">
              <w:rPr>
                <w:rFonts w:ascii="Rockwell" w:cs="Rockwell" w:eastAsia="Rockwell" w:hAnsi="Rockwell"/>
                <w:b w:val="1"/>
                <w:bCs w:val="1"/>
                <w:color w:val="ffffff"/>
                <w:rtl w:val="0"/>
              </w:rPr>
              <w:t xml:space="preserve">METODOLOGÍA (</w:t>
            </w:r>
            <w:r w:rsidDel="00000000" w:rsidR="00000000" w:rsidRPr="00000000">
              <w:rPr>
                <w:rFonts w:ascii="Rockwell" w:cs="Rockwell" w:eastAsia="Rockwell" w:hAnsi="Rockwell"/>
                <w:b w:val="1"/>
                <w:bCs w:val="1"/>
                <w:color w:val="ffffff"/>
                <w:sz w:val="18"/>
                <w:szCs w:val="18"/>
                <w:rtl w:val="0"/>
              </w:rPr>
              <w:t xml:space="preserve">Si aplica</w:t>
            </w:r>
            <w:r w:rsidDel="00000000" w:rsidR="00000000" w:rsidRPr="00000000">
              <w:rPr>
                <w:rFonts w:ascii="Rockwell" w:cs="Rockwell" w:eastAsia="Rockwell" w:hAnsi="Rockwell"/>
                <w:b w:val="1"/>
                <w:bCs w:val="1"/>
                <w:color w:val="ffffff"/>
                <w:rtl w:val="0"/>
              </w:rPr>
              <w:t xml:space="preserve">)</w:t>
            </w:r>
            <w:r w:rsidDel="00000000" w:rsidR="00000000" w:rsidRPr="00000000">
              <w:rPr>
                <w:rtl w:val="0"/>
              </w:rPr>
            </w:r>
          </w:p>
        </w:tc>
      </w:tr>
      <w:tr>
        <w:trPr>
          <w:cantSplit w:val="0"/>
          <w:trHeight w:val="441"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spacing w:after="240" w:before="0" w:line="276" w:lineRule="auto"/>
              <w:rPr>
                <w:sz w:val="26"/>
                <w:szCs w:val="26"/>
              </w:rPr>
            </w:pPr>
            <w:r w:rsidDel="00000000" w:rsidR="00000000" w:rsidRPr="00000000">
              <w:rPr>
                <w:sz w:val="26"/>
                <w:szCs w:val="26"/>
                <w:rtl w:val="0"/>
              </w:rPr>
              <w:t xml:space="preserve">La evaluación del POA correspondiente al segundo trimestre del año 2026 se realizó mediante la revisión de la matriz institucional y de los reportes remitidos por cada una de las áreas responsables, correspondientes a los meses de abril, mayo y junio.</w:t>
            </w:r>
          </w:p>
          <w:p w:rsidR="00000000" w:rsidDel="00000000" w:rsidP="00000000" w:rsidRDefault="00000000" w:rsidRPr="00000000" w14:paraId="0000003A">
            <w:pPr>
              <w:spacing w:after="240" w:before="240" w:line="240" w:lineRule="auto"/>
              <w:rPr>
                <w:sz w:val="26"/>
                <w:szCs w:val="26"/>
              </w:rPr>
            </w:pPr>
            <w:r w:rsidDel="00000000" w:rsidR="00000000" w:rsidRPr="00000000">
              <w:rPr>
                <w:sz w:val="26"/>
                <w:szCs w:val="26"/>
                <w:rtl w:val="0"/>
              </w:rPr>
              <w:t xml:space="preserve">El proceso contempló las siguientes actividades:</w:t>
            </w:r>
          </w:p>
          <w:p w:rsidR="00000000" w:rsidDel="00000000" w:rsidP="00000000" w:rsidRDefault="00000000" w:rsidRPr="00000000" w14:paraId="0000003B">
            <w:pPr>
              <w:numPr>
                <w:ilvl w:val="0"/>
                <w:numId w:val="1"/>
              </w:numPr>
              <w:spacing w:after="0" w:afterAutospacing="0" w:before="240" w:line="240" w:lineRule="auto"/>
              <w:ind w:left="720" w:hanging="360"/>
              <w:rPr>
                <w:sz w:val="26"/>
                <w:szCs w:val="26"/>
              </w:rPr>
            </w:pPr>
            <w:r w:rsidDel="00000000" w:rsidR="00000000" w:rsidRPr="00000000">
              <w:rPr>
                <w:sz w:val="26"/>
                <w:szCs w:val="26"/>
                <w:rtl w:val="0"/>
              </w:rPr>
              <w:t xml:space="preserve">Revisión del cumplimiento físico de las actividades programadas para el período evaluado.</w:t>
            </w:r>
          </w:p>
          <w:p w:rsidR="00000000" w:rsidDel="00000000" w:rsidP="00000000" w:rsidRDefault="00000000" w:rsidRPr="00000000" w14:paraId="0000003C">
            <w:pPr>
              <w:numPr>
                <w:ilvl w:val="0"/>
                <w:numId w:val="1"/>
              </w:numPr>
              <w:spacing w:after="0" w:before="0" w:line="240" w:lineRule="auto"/>
              <w:ind w:left="720" w:hanging="360"/>
              <w:rPr>
                <w:sz w:val="26"/>
                <w:szCs w:val="26"/>
              </w:rPr>
            </w:pPr>
            <w:r w:rsidDel="00000000" w:rsidR="00000000" w:rsidRPr="00000000">
              <w:rPr>
                <w:sz w:val="26"/>
                <w:szCs w:val="26"/>
                <w:rtl w:val="0"/>
              </w:rPr>
              <w:t xml:space="preserve">Verificación de los medios de verificación presentados por cada departamento, incluyendo informes, actas, listados de participación, fotografías, reportes estadísticos, planes de mejora y demás documentos de respaldo.</w:t>
            </w:r>
          </w:p>
        </w:tc>
      </w:tr>
      <w:tr>
        <w:trPr>
          <w:cantSplit w:val="0"/>
          <w:trHeight w:val="180" w:hRule="atLeast"/>
          <w:tblHeader w:val="0"/>
        </w:trPr>
        <w:tc>
          <w:tcPr>
            <w:tcBorders>
              <w:left w:color="000000" w:space="0" w:sz="0" w:val="nil"/>
              <w:bottom w:color="000000" w:space="0" w:sz="4" w:val="single"/>
              <w:right w:color="000000" w:space="0" w:sz="0" w:val="nil"/>
            </w:tcBorders>
            <w:vAlign w:val="center"/>
          </w:tcPr>
          <w:p w:rsidR="00000000" w:rsidDel="00000000" w:rsidP="00000000" w:rsidRDefault="00000000" w:rsidRPr="00000000" w14:paraId="0000003D">
            <w:pPr>
              <w:spacing w:line="168" w:lineRule="auto"/>
              <w:rPr>
                <w:rFonts w:ascii="Rockwell" w:cs="Rockwell" w:eastAsia="Rockwell" w:hAnsi="Rockwell"/>
                <w:sz w:val="16"/>
                <w:szCs w:val="16"/>
              </w:rPr>
            </w:pPr>
            <w:r w:rsidDel="00000000" w:rsidR="00000000" w:rsidRPr="00000000">
              <w:rPr>
                <w:rtl w:val="0"/>
              </w:rPr>
            </w:r>
          </w:p>
        </w:tc>
      </w:tr>
      <w:tr>
        <w:trPr>
          <w:cantSplit w:val="0"/>
          <w:trHeight w:val="375" w:hRule="atLeast"/>
          <w:tblHeader w:val="0"/>
        </w:trPr>
        <w:tc>
          <w:tcPr>
            <w:tcBorders>
              <w:left w:color="000000" w:space="0" w:sz="4" w:val="single"/>
              <w:right w:color="000000" w:space="0" w:sz="4" w:val="single"/>
            </w:tcBorders>
            <w:shd w:fill="0c5277" w:val="clear"/>
            <w:vAlign w:val="center"/>
          </w:tcPr>
          <w:p w:rsidR="00000000" w:rsidDel="00000000" w:rsidP="00000000" w:rsidRDefault="00000000" w:rsidRPr="00000000" w14:paraId="0000003E">
            <w:pPr>
              <w:jc w:val="center"/>
              <w:rPr>
                <w:rFonts w:ascii="Rockwell" w:cs="Rockwell" w:eastAsia="Rockwell" w:hAnsi="Rockwell"/>
                <w:sz w:val="16"/>
                <w:szCs w:val="16"/>
              </w:rPr>
            </w:pPr>
            <w:r w:rsidDel="00000000" w:rsidR="00000000" w:rsidRPr="00000000">
              <w:rPr>
                <w:rFonts w:ascii="Rockwell" w:cs="Rockwell" w:eastAsia="Rockwell" w:hAnsi="Rockwell"/>
                <w:b w:val="1"/>
                <w:bCs w:val="1"/>
                <w:color w:val="ffffff"/>
                <w:rtl w:val="0"/>
              </w:rPr>
              <w:t xml:space="preserve">DESARROLLO / HALLAZGOS</w:t>
            </w:r>
            <w:r w:rsidDel="00000000" w:rsidR="00000000" w:rsidRPr="00000000">
              <w:rPr>
                <w:rtl w:val="0"/>
              </w:rPr>
            </w:r>
          </w:p>
        </w:tc>
      </w:tr>
      <w:tr>
        <w:trPr>
          <w:cantSplit w:val="0"/>
          <w:trHeight w:val="441" w:hRule="atLeast"/>
          <w:tblHeader w:val="0"/>
        </w:trPr>
        <w:tc>
          <w:tcPr>
            <w:tcBorders>
              <w:left w:color="000000" w:space="0" w:sz="4" w:val="single"/>
              <w:right w:color="000000" w:space="0" w:sz="4" w:val="single"/>
            </w:tcBorders>
            <w:shd w:fill="auto" w:val="clear"/>
            <w:vAlign w:val="center"/>
          </w:tcPr>
          <w:p w:rsidR="00000000" w:rsidDel="00000000" w:rsidP="00000000" w:rsidRDefault="00000000" w:rsidRPr="00000000" w14:paraId="0000003F">
            <w:pPr>
              <w:spacing w:after="240" w:lineRule="auto"/>
              <w:jc w:val="both"/>
              <w:rPr>
                <w:sz w:val="26"/>
                <w:szCs w:val="26"/>
              </w:rPr>
            </w:pPr>
            <w:r w:rsidDel="00000000" w:rsidR="00000000" w:rsidRPr="00000000">
              <w:rPr>
                <w:sz w:val="26"/>
                <w:szCs w:val="26"/>
                <w:rtl w:val="0"/>
              </w:rPr>
              <w:t xml:space="preserve">Como parte del proceso de autoevaluación del Plan Operativo Anual (POA) correspondiente al segundo trimestre del año 2026, se realizó la revisión de las actividades ejecutadas por cada una de las áreas responsables durante los meses de abril, mayo y junio, verificando el cumplimiento de las metas establecidas y los medios de verificación presentados.</w:t>
            </w:r>
          </w:p>
          <w:p w:rsidR="00000000" w:rsidDel="00000000" w:rsidP="00000000" w:rsidRDefault="00000000" w:rsidRPr="00000000" w14:paraId="00000040">
            <w:pPr>
              <w:spacing w:after="240" w:before="240" w:line="276" w:lineRule="auto"/>
              <w:jc w:val="both"/>
              <w:rPr>
                <w:sz w:val="26"/>
                <w:szCs w:val="26"/>
              </w:rPr>
            </w:pPr>
            <w:r w:rsidDel="00000000" w:rsidR="00000000" w:rsidRPr="00000000">
              <w:rPr>
                <w:sz w:val="26"/>
                <w:szCs w:val="26"/>
                <w:rtl w:val="0"/>
              </w:rPr>
              <w:t xml:space="preserve">Los resultados obtenidos evidencian un desempeño institucional altamente satisfactorio, ya que todas las áreas alcanzaron un </w:t>
            </w:r>
            <w:r w:rsidDel="00000000" w:rsidR="00000000" w:rsidRPr="00000000">
              <w:rPr>
                <w:b w:val="1"/>
                <w:bCs w:val="1"/>
                <w:sz w:val="26"/>
                <w:szCs w:val="26"/>
                <w:rtl w:val="0"/>
              </w:rPr>
              <w:t xml:space="preserve">100 % de cumplimiento</w:t>
            </w:r>
            <w:r w:rsidDel="00000000" w:rsidR="00000000" w:rsidRPr="00000000">
              <w:rPr>
                <w:sz w:val="26"/>
                <w:szCs w:val="26"/>
                <w:rtl w:val="0"/>
              </w:rPr>
              <w:t xml:space="preserve"> en las actividades programadas para el período evaluado. Este resultado refleja el compromiso de los responsables de cada departamento con la ejecución oportuna de las acciones planificadas, así como una adecuada coordinación interdepartamental y un seguimiento continuo por parte de la Dirección de Planificación y Desarrollo.</w:t>
            </w:r>
          </w:p>
          <w:p w:rsidR="00000000" w:rsidDel="00000000" w:rsidP="00000000" w:rsidRDefault="00000000" w:rsidRPr="00000000" w14:paraId="00000041">
            <w:pPr>
              <w:spacing w:after="240" w:before="240" w:line="276" w:lineRule="auto"/>
              <w:jc w:val="both"/>
              <w:rPr>
                <w:sz w:val="26"/>
                <w:szCs w:val="26"/>
              </w:rPr>
            </w:pPr>
            <w:r w:rsidDel="00000000" w:rsidR="00000000" w:rsidRPr="00000000">
              <w:rPr>
                <w:sz w:val="26"/>
                <w:szCs w:val="26"/>
                <w:rtl w:val="0"/>
              </w:rPr>
              <w:t xml:space="preserve">Durante la evaluación se constató que las áreas de Medicamentos e Insumos, Laboratorio e Imágenes, Emergencias, Materno-Neonatal, SAI (VIH), Auditoría Médica, Facturación, Redes y Comunicaciones, Pediatría y Neonatología, Recursos Humanos, Dirección y Subdirección Médica, así como Planificación y Desarrollo, ejecutaron la totalidad de las actividades contempladas en sus respectivos planes operativos, presentando las evidencias requeridas para respaldar su cumplimiento.</w:t>
            </w:r>
          </w:p>
          <w:p w:rsidR="00000000" w:rsidDel="00000000" w:rsidP="00000000" w:rsidRDefault="00000000" w:rsidRPr="00000000" w14:paraId="00000042">
            <w:pPr>
              <w:spacing w:after="240" w:before="240" w:line="276" w:lineRule="auto"/>
              <w:jc w:val="both"/>
              <w:rPr>
                <w:sz w:val="26"/>
                <w:szCs w:val="26"/>
              </w:rPr>
            </w:pPr>
            <w:r w:rsidDel="00000000" w:rsidR="00000000" w:rsidRPr="00000000">
              <w:rPr>
                <w:sz w:val="26"/>
                <w:szCs w:val="26"/>
                <w:rtl w:val="0"/>
              </w:rPr>
              <w:t xml:space="preserve">Asimismo, no se identificaron actividades reprogramadas, actividades quemadas ni incumplimientos durante el trimestre, lo que demuestra una adecuada planificación, organización y seguimiento de las acciones institucionales. La documentación presentada por cada departamento permitió validar el cumplimiento de los indicadores establecidos y evidenció la implementación efectiva de las actividades orientadas al fortalecimiento de la calidad de los servicios, la gestión administrativa y el cumplimiento de los objetivos institucionales.</w:t>
            </w:r>
          </w:p>
          <w:p w:rsidR="00000000" w:rsidDel="00000000" w:rsidP="00000000" w:rsidRDefault="00000000" w:rsidRPr="00000000" w14:paraId="00000043">
            <w:pPr>
              <w:spacing w:after="0" w:before="0" w:line="240" w:lineRule="auto"/>
              <w:ind w:left="0" w:firstLine="0"/>
              <w:jc w:val="both"/>
              <w:rPr>
                <w:sz w:val="26"/>
                <w:szCs w:val="26"/>
              </w:rPr>
            </w:pPr>
            <w:r w:rsidDel="00000000" w:rsidR="00000000" w:rsidRPr="00000000">
              <w:rPr>
                <w:sz w:val="26"/>
                <w:szCs w:val="26"/>
                <w:rtl w:val="0"/>
              </w:rPr>
              <w:t xml:space="preserve">En términos generales, los resultados de la autoevaluación reflejan una gestión eficiente y un alto nivel de responsabilidad por parte de las diferentes áreas del hospital, consolidando una cultura organizacional basada en la planificación, el monitoreo permanente y la mejora continua, aspectos que contribuyen al fortalecimiento del desempeño institucional y al logro de las metas estratégicas del Hospital Regional Taiwán 19 de Marzo. </w:t>
            </w:r>
          </w:p>
        </w:tc>
      </w:tr>
      <w:tr>
        <w:trPr>
          <w:cantSplit w:val="0"/>
          <w:trHeight w:val="195" w:hRule="atLeast"/>
          <w:tblHeader w:val="0"/>
        </w:trPr>
        <w:tc>
          <w:tcPr>
            <w:tcBorders>
              <w:left w:color="000000" w:space="0" w:sz="0" w:val="nil"/>
              <w:right w:color="000000" w:space="0" w:sz="0" w:val="nil"/>
            </w:tcBorders>
            <w:vAlign w:val="center"/>
          </w:tcPr>
          <w:p w:rsidR="00000000" w:rsidDel="00000000" w:rsidP="00000000" w:rsidRDefault="00000000" w:rsidRPr="00000000" w14:paraId="00000044">
            <w:pPr>
              <w:spacing w:line="168" w:lineRule="auto"/>
              <w:jc w:val="center"/>
              <w:rPr>
                <w:rFonts w:ascii="Rockwell" w:cs="Rockwell" w:eastAsia="Rockwell" w:hAnsi="Rockwell"/>
                <w:sz w:val="16"/>
                <w:szCs w:val="16"/>
              </w:rPr>
            </w:pPr>
            <w:r w:rsidDel="00000000" w:rsidR="00000000" w:rsidRPr="00000000">
              <w:rPr>
                <w:rtl w:val="0"/>
              </w:rPr>
            </w:r>
          </w:p>
        </w:tc>
      </w:tr>
      <w:tr>
        <w:trPr>
          <w:cantSplit w:val="0"/>
          <w:trHeight w:val="405" w:hRule="atLeast"/>
          <w:tblHeader w:val="0"/>
        </w:trPr>
        <w:tc>
          <w:tcPr>
            <w:tcBorders>
              <w:left w:color="000000" w:space="0" w:sz="0" w:val="nil"/>
              <w:bottom w:color="000000" w:space="0" w:sz="4" w:val="single"/>
              <w:right w:color="000000" w:space="0" w:sz="0" w:val="nil"/>
            </w:tcBorders>
            <w:shd w:fill="0c5277" w:val="clear"/>
            <w:vAlign w:val="center"/>
          </w:tcPr>
          <w:p w:rsidR="00000000" w:rsidDel="00000000" w:rsidP="00000000" w:rsidRDefault="00000000" w:rsidRPr="00000000" w14:paraId="00000045">
            <w:pPr>
              <w:jc w:val="center"/>
              <w:rPr>
                <w:rFonts w:ascii="Rockwell" w:cs="Rockwell" w:eastAsia="Rockwell" w:hAnsi="Rockwell"/>
                <w:sz w:val="16"/>
                <w:szCs w:val="16"/>
              </w:rPr>
            </w:pPr>
            <w:r w:rsidDel="00000000" w:rsidR="00000000" w:rsidRPr="00000000">
              <w:rPr>
                <w:rFonts w:ascii="Rockwell" w:cs="Rockwell" w:eastAsia="Rockwell" w:hAnsi="Rockwell"/>
                <w:b w:val="1"/>
                <w:bCs w:val="1"/>
                <w:color w:val="ffffff"/>
                <w:rtl w:val="0"/>
              </w:rPr>
              <w:t xml:space="preserve">RESULTADOS / CONCLUSIONES</w:t>
            </w:r>
            <w:r w:rsidDel="00000000" w:rsidR="00000000" w:rsidRPr="00000000">
              <w:rPr>
                <w:rtl w:val="0"/>
              </w:rPr>
            </w:r>
          </w:p>
        </w:tc>
      </w:tr>
      <w:tr>
        <w:trPr>
          <w:cantSplit w:val="0"/>
          <w:trHeight w:val="690"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spacing w:line="276" w:lineRule="auto"/>
              <w:jc w:val="both"/>
              <w:rPr>
                <w:sz w:val="26"/>
                <w:szCs w:val="26"/>
              </w:rPr>
            </w:pPr>
            <w:r w:rsidDel="00000000" w:rsidR="00000000" w:rsidRPr="00000000">
              <w:rPr>
                <w:sz w:val="26"/>
                <w:szCs w:val="26"/>
                <w:rtl w:val="0"/>
              </w:rPr>
              <w:t xml:space="preserve"> La autoevaluación del Plan Operativo Anual correspondiente al segundo trimestre del año 2026 evidencia un </w:t>
            </w:r>
            <w:r w:rsidDel="00000000" w:rsidR="00000000" w:rsidRPr="00000000">
              <w:rPr>
                <w:b w:val="1"/>
                <w:bCs w:val="1"/>
                <w:sz w:val="26"/>
                <w:szCs w:val="26"/>
                <w:rtl w:val="0"/>
              </w:rPr>
              <w:t xml:space="preserve">cumplimiento institucional del 100 %</w:t>
            </w:r>
            <w:r w:rsidDel="00000000" w:rsidR="00000000" w:rsidRPr="00000000">
              <w:rPr>
                <w:sz w:val="26"/>
                <w:szCs w:val="26"/>
                <w:rtl w:val="0"/>
              </w:rPr>
              <w:t xml:space="preserve"> en todas las áreas evaluadas, reflejando una gestión eficiente y un alto compromiso de los departamentos con la ejecución de las actividades programadas.</w:t>
            </w:r>
          </w:p>
          <w:p w:rsidR="00000000" w:rsidDel="00000000" w:rsidP="00000000" w:rsidRDefault="00000000" w:rsidRPr="00000000" w14:paraId="00000047">
            <w:pPr>
              <w:spacing w:line="276" w:lineRule="auto"/>
              <w:jc w:val="both"/>
              <w:rPr>
                <w:sz w:val="26"/>
                <w:szCs w:val="26"/>
              </w:rPr>
            </w:pPr>
            <w:r w:rsidDel="00000000" w:rsidR="00000000" w:rsidRPr="00000000">
              <w:rPr>
                <w:sz w:val="26"/>
                <w:szCs w:val="26"/>
                <w:rtl w:val="0"/>
              </w:rPr>
              <w:t xml:space="preserve">La revisión de los medios de verificación confirmó que las actividades fueron desarrolladas dentro de los plazos establecidos, con la documentación correspondiente y en cumplimiento de los indicadores definidos para cada proceso.</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6"/>
                <w:szCs w:val="26"/>
                <w:u w:val="none"/>
                <w:shd w:fill="auto" w:val="clear"/>
                <w:vertAlign w:val="baseline"/>
              </w:rPr>
            </w:pPr>
            <w:r w:rsidDel="00000000" w:rsidR="00000000" w:rsidRPr="00000000">
              <w:rPr>
                <w:sz w:val="26"/>
                <w:szCs w:val="26"/>
                <w:rtl w:val="0"/>
              </w:rPr>
              <w:t xml:space="preserve">Los resultados alcanzados demuestran el fortalecimiento de la planificación institucional, el adecuado seguimiento de las actividades y la coordinación efectiva entre las diferentes áreas del hospital, contribuyendo al cumplimiento de los objetivos estratégicos y al fortalecimiento de la calidad de los servicios ofrecidos a la población. </w:t>
            </w:r>
            <w:r w:rsidDel="00000000" w:rsidR="00000000" w:rsidRPr="00000000">
              <w:rPr>
                <w:rtl w:val="0"/>
              </w:rPr>
            </w:r>
          </w:p>
        </w:tc>
      </w:tr>
      <w:tr>
        <w:trPr>
          <w:cantSplit w:val="0"/>
          <w:trHeight w:val="225" w:hRule="atLeast"/>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49">
            <w:pPr>
              <w:spacing w:line="168" w:lineRule="auto"/>
              <w:jc w:val="center"/>
              <w:rPr>
                <w:rFonts w:ascii="Rockwell" w:cs="Rockwell" w:eastAsia="Rockwell" w:hAnsi="Rockwell"/>
                <w:sz w:val="16"/>
                <w:szCs w:val="16"/>
              </w:rPr>
            </w:pPr>
            <w:r w:rsidDel="00000000" w:rsidR="00000000" w:rsidRPr="00000000">
              <w:rPr>
                <w:rtl w:val="0"/>
              </w:rPr>
            </w:r>
          </w:p>
        </w:tc>
      </w:tr>
      <w:tr>
        <w:trPr>
          <w:cantSplit w:val="1"/>
          <w:trHeight w:val="376" w:hRule="atLeast"/>
          <w:tblHeader w:val="0"/>
        </w:trPr>
        <w:tc>
          <w:tcPr>
            <w:tcBorders>
              <w:top w:color="000000" w:space="0" w:sz="0" w:val="nil"/>
              <w:bottom w:color="000000" w:space="0" w:sz="4" w:val="single"/>
              <w:right w:color="000000" w:space="0" w:sz="0" w:val="nil"/>
            </w:tcBorders>
            <w:shd w:fill="0c5277" w:val="clear"/>
            <w:vAlign w:val="center"/>
          </w:tcPr>
          <w:p w:rsidR="00000000" w:rsidDel="00000000" w:rsidP="00000000" w:rsidRDefault="00000000" w:rsidRPr="00000000" w14:paraId="0000004A">
            <w:pPr>
              <w:jc w:val="center"/>
              <w:rPr>
                <w:rFonts w:ascii="Rockwell" w:cs="Rockwell" w:eastAsia="Rockwell" w:hAnsi="Rockwell"/>
                <w:b w:val="1"/>
                <w:bCs w:val="1"/>
              </w:rPr>
            </w:pPr>
            <w:r w:rsidDel="00000000" w:rsidR="00000000" w:rsidRPr="00000000">
              <w:rPr>
                <w:rFonts w:ascii="Rockwell" w:cs="Rockwell" w:eastAsia="Rockwell" w:hAnsi="Rockwell"/>
                <w:b w:val="1"/>
                <w:bCs w:val="1"/>
                <w:color w:val="ffffff"/>
                <w:rtl w:val="0"/>
              </w:rPr>
              <w:t xml:space="preserve">RECOMENDACIONES </w:t>
            </w:r>
            <w:r w:rsidDel="00000000" w:rsidR="00000000" w:rsidRPr="00000000">
              <w:rPr>
                <w:rtl w:val="0"/>
              </w:rPr>
            </w:r>
          </w:p>
        </w:tc>
      </w:tr>
      <w:tr>
        <w:trPr>
          <w:cantSplit w:val="0"/>
          <w:trHeight w:val="532" w:hRule="atLeast"/>
          <w:tblHeader w:val="0"/>
        </w:trPr>
        <w:tc>
          <w:tcPr>
            <w:tcBorders>
              <w:bottom w:color="000000" w:space="0" w:sz="4" w:val="single"/>
            </w:tcBorders>
          </w:tcPr>
          <w:p w:rsidR="00000000" w:rsidDel="00000000" w:rsidP="00000000" w:rsidRDefault="00000000" w:rsidRPr="00000000" w14:paraId="0000004B">
            <w:pPr>
              <w:spacing w:line="276" w:lineRule="auto"/>
              <w:rPr>
                <w:sz w:val="26"/>
                <w:szCs w:val="26"/>
              </w:rPr>
            </w:pPr>
            <w:r w:rsidDel="00000000" w:rsidR="00000000" w:rsidRPr="00000000">
              <w:rPr>
                <w:sz w:val="26"/>
                <w:szCs w:val="26"/>
                <w:rtl w:val="0"/>
              </w:rPr>
              <w:t xml:space="preserve">Mantener el seguimiento continuo al cumplimiento de las actividades establecidas en el Plan Operativo Anual. </w:t>
            </w:r>
          </w:p>
        </w:tc>
      </w:tr>
      <w:tr>
        <w:trPr>
          <w:cantSplit w:val="0"/>
          <w:trHeight w:val="198"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4C">
            <w:pPr>
              <w:spacing w:line="168" w:lineRule="auto"/>
              <w:rPr>
                <w:rFonts w:ascii="Rockwell" w:cs="Rockwell" w:eastAsia="Rockwell" w:hAnsi="Rockwell"/>
                <w:sz w:val="22"/>
                <w:szCs w:val="22"/>
              </w:rPr>
            </w:pPr>
            <w:r w:rsidDel="00000000" w:rsidR="00000000" w:rsidRPr="00000000">
              <w:rPr>
                <w:rtl w:val="0"/>
              </w:rPr>
            </w:r>
          </w:p>
        </w:tc>
      </w:tr>
      <w:tr>
        <w:trPr>
          <w:cantSplit w:val="0"/>
          <w:trHeight w:val="372" w:hRule="atLeast"/>
          <w:tblHeader w:val="0"/>
        </w:trPr>
        <w:tc>
          <w:tcPr>
            <w:tcBorders>
              <w:top w:color="000000" w:space="0" w:sz="0" w:val="nil"/>
              <w:bottom w:color="000000" w:space="0" w:sz="4" w:val="single"/>
            </w:tcBorders>
            <w:shd w:fill="0c5277" w:val="clear"/>
          </w:tcPr>
          <w:p w:rsidR="00000000" w:rsidDel="00000000" w:rsidP="00000000" w:rsidRDefault="00000000" w:rsidRPr="00000000" w14:paraId="0000004D">
            <w:pPr>
              <w:tabs>
                <w:tab w:val="left" w:leader="none" w:pos="4140"/>
              </w:tabs>
              <w:jc w:val="center"/>
              <w:rPr>
                <w:rFonts w:ascii="Rockwell" w:cs="Rockwell" w:eastAsia="Rockwell" w:hAnsi="Rockwell"/>
                <w:b w:val="1"/>
                <w:bCs w:val="1"/>
                <w:color w:val="ffffff"/>
              </w:rPr>
            </w:pPr>
            <w:r w:rsidDel="00000000" w:rsidR="00000000" w:rsidRPr="00000000">
              <w:rPr>
                <w:rFonts w:ascii="Rockwell" w:cs="Rockwell" w:eastAsia="Rockwell" w:hAnsi="Rockwell"/>
                <w:b w:val="1"/>
                <w:bCs w:val="1"/>
                <w:color w:val="ffffff"/>
                <w:rtl w:val="0"/>
              </w:rPr>
              <w:t xml:space="preserve">ANEXOS (</w:t>
            </w:r>
            <w:r w:rsidDel="00000000" w:rsidR="00000000" w:rsidRPr="00000000">
              <w:rPr>
                <w:rFonts w:ascii="Rockwell" w:cs="Rockwell" w:eastAsia="Rockwell" w:hAnsi="Rockwell"/>
                <w:b w:val="1"/>
                <w:bCs w:val="1"/>
                <w:color w:val="ffffff"/>
                <w:sz w:val="18"/>
                <w:szCs w:val="18"/>
                <w:rtl w:val="0"/>
              </w:rPr>
              <w:t xml:space="preserve">Si aplica</w:t>
            </w:r>
            <w:r w:rsidDel="00000000" w:rsidR="00000000" w:rsidRPr="00000000">
              <w:rPr>
                <w:rFonts w:ascii="Rockwell" w:cs="Rockwell" w:eastAsia="Rockwell" w:hAnsi="Rockwell"/>
                <w:b w:val="1"/>
                <w:bCs w:val="1"/>
                <w:color w:val="ffffff"/>
                <w:rtl w:val="0"/>
              </w:rPr>
              <w:t xml:space="preserve">)</w:t>
            </w:r>
          </w:p>
        </w:tc>
      </w:tr>
      <w:tr>
        <w:trPr>
          <w:cantSplit w:val="0"/>
          <w:trHeight w:val="332" w:hRule="atLeast"/>
          <w:tblHeader w:val="0"/>
        </w:trPr>
        <w:tc>
          <w:tcPr>
            <w:tcBorders>
              <w:bottom w:color="000000" w:space="0" w:sz="4" w:val="single"/>
            </w:tcBorders>
          </w:tcPr>
          <w:p w:rsidR="00000000" w:rsidDel="00000000" w:rsidP="00000000" w:rsidRDefault="00000000" w:rsidRPr="00000000" w14:paraId="0000004E">
            <w:pPr>
              <w:spacing w:after="120" w:line="276" w:lineRule="auto"/>
              <w:rPr>
                <w:sz w:val="26"/>
                <w:szCs w:val="26"/>
              </w:rPr>
            </w:pPr>
            <w:bookmarkStart w:colFirst="0" w:colLast="0" w:name="_heading=h.uc2qzbk8iw98" w:id="1"/>
            <w:bookmarkEnd w:id="1"/>
            <w:r w:rsidDel="00000000" w:rsidR="00000000" w:rsidRPr="00000000">
              <w:rPr>
                <w:sz w:val="26"/>
                <w:szCs w:val="26"/>
                <w:rtl w:val="0"/>
              </w:rPr>
              <w:t xml:space="preserve">No hay anexos para esta sección </w:t>
            </w:r>
          </w:p>
        </w:tc>
      </w:tr>
    </w:tbl>
    <w:p w:rsidR="00000000" w:rsidDel="00000000" w:rsidP="00000000" w:rsidRDefault="00000000" w:rsidRPr="00000000" w14:paraId="0000004F">
      <w:pPr>
        <w:tabs>
          <w:tab w:val="left" w:leader="none" w:pos="6290"/>
        </w:tabs>
        <w:ind w:left="-993" w:firstLine="0"/>
        <w:rPr>
          <w:rFonts w:ascii="Rockwell" w:cs="Rockwell" w:eastAsia="Rockwell" w:hAnsi="Rockwell"/>
          <w:b w:val="1"/>
          <w:bCs w:val="1"/>
          <w:sz w:val="18"/>
          <w:szCs w:val="18"/>
          <w:u w:val="single"/>
        </w:rPr>
      </w:pPr>
      <w:r w:rsidDel="00000000" w:rsidR="00000000" w:rsidRPr="00000000">
        <w:rPr>
          <w:rFonts w:ascii="Rockwell" w:cs="Rockwell" w:eastAsia="Rockwell" w:hAnsi="Rockwell"/>
          <w:b w:val="1"/>
          <w:bCs w:val="1"/>
          <w:sz w:val="18"/>
          <w:szCs w:val="18"/>
          <w:u w:val="single"/>
          <w:rtl w:val="0"/>
        </w:rPr>
        <w:t xml:space="preserve"> Instrucciones de llenado:</w:t>
      </w:r>
    </w:p>
    <w:p w:rsidR="00000000" w:rsidDel="00000000" w:rsidP="00000000" w:rsidRDefault="00000000" w:rsidRPr="00000000" w14:paraId="00000050">
      <w:pPr>
        <w:tabs>
          <w:tab w:val="left" w:leader="none" w:pos="6290"/>
        </w:tabs>
        <w:ind w:hanging="993"/>
        <w:rPr>
          <w:rFonts w:ascii="Rockwell" w:cs="Rockwell" w:eastAsia="Rockwell" w:hAnsi="Rockwell"/>
        </w:rPr>
      </w:pPr>
      <w:bookmarkStart w:colFirst="0" w:colLast="0" w:name="_heading=h.30j0zll" w:id="2"/>
      <w:bookmarkEnd w:id="2"/>
      <w:r w:rsidDel="00000000" w:rsidR="00000000" w:rsidRPr="00000000">
        <w:rPr>
          <w:rFonts w:ascii="Rockwell" w:cs="Rockwell" w:eastAsia="Rockwell" w:hAnsi="Rockwell"/>
          <w:b w:val="1"/>
          <w:bCs w:val="1"/>
          <w:sz w:val="18"/>
          <w:szCs w:val="18"/>
          <w:rtl w:val="0"/>
        </w:rPr>
        <w:t xml:space="preserve">*Indique nombre del lugar</w:t>
      </w:r>
      <w:r w:rsidDel="00000000" w:rsidR="00000000" w:rsidRPr="00000000">
        <w:rPr>
          <w:rFonts w:ascii="Rockwell" w:cs="Rockwell" w:eastAsia="Rockwell" w:hAnsi="Rockwell"/>
          <w:sz w:val="18"/>
          <w:szCs w:val="18"/>
          <w:rtl w:val="0"/>
        </w:rPr>
        <w:t xml:space="preserve">: Este campo sólo aplica para SRS, Hospital y CPN.</w:t>
      </w:r>
      <w:r w:rsidDel="00000000" w:rsidR="00000000" w:rsidRPr="00000000">
        <w:rPr>
          <w:rtl w:val="0"/>
        </w:rPr>
      </w:r>
    </w:p>
    <w:p w:rsidR="00000000" w:rsidDel="00000000" w:rsidP="00000000" w:rsidRDefault="00000000" w:rsidRPr="00000000" w14:paraId="00000051">
      <w:pPr>
        <w:tabs>
          <w:tab w:val="left" w:leader="none" w:pos="6290"/>
        </w:tabs>
        <w:ind w:hanging="993"/>
        <w:rPr>
          <w:rFonts w:ascii="Rockwell" w:cs="Rockwell" w:eastAsia="Rockwell" w:hAnsi="Rockwell"/>
        </w:rPr>
      </w:pPr>
      <w:bookmarkStart w:colFirst="0" w:colLast="0" w:name="_heading=h.782j656vjuji" w:id="3"/>
      <w:bookmarkEnd w:id="3"/>
      <w:r w:rsidDel="00000000" w:rsidR="00000000" w:rsidRPr="00000000">
        <w:rPr>
          <w:rtl w:val="0"/>
        </w:rPr>
      </w:r>
    </w:p>
    <w:p w:rsidR="00000000" w:rsidDel="00000000" w:rsidP="00000000" w:rsidRDefault="00000000" w:rsidRPr="00000000" w14:paraId="00000052">
      <w:pPr>
        <w:tabs>
          <w:tab w:val="left" w:leader="none" w:pos="6290"/>
        </w:tabs>
        <w:ind w:hanging="993"/>
        <w:rPr>
          <w:rFonts w:ascii="Rockwell" w:cs="Rockwell" w:eastAsia="Rockwell" w:hAnsi="Rockwell"/>
        </w:rPr>
      </w:pPr>
      <w:bookmarkStart w:colFirst="0" w:colLast="0" w:name="_heading=h.mi638d30z6ew" w:id="4"/>
      <w:bookmarkEnd w:id="4"/>
      <w:r w:rsidDel="00000000" w:rsidR="00000000" w:rsidRPr="00000000">
        <w:rPr>
          <w:rtl w:val="0"/>
        </w:rPr>
      </w:r>
    </w:p>
    <w:p w:rsidR="00000000" w:rsidDel="00000000" w:rsidP="00000000" w:rsidRDefault="00000000" w:rsidRPr="00000000" w14:paraId="00000053">
      <w:pPr>
        <w:tabs>
          <w:tab w:val="left" w:leader="none" w:pos="6290"/>
        </w:tabs>
        <w:rPr>
          <w:rFonts w:ascii="Rockwell" w:cs="Rockwell" w:eastAsia="Rockwell" w:hAnsi="Rockwell"/>
        </w:rPr>
      </w:pPr>
      <w:r w:rsidDel="00000000" w:rsidR="00000000" w:rsidRPr="00000000">
        <w:rPr>
          <w:rtl w:val="0"/>
        </w:rPr>
      </w:r>
    </w:p>
    <w:tbl>
      <w:tblPr>
        <w:tblStyle w:val="Table4"/>
        <w:tblW w:w="10916.0" w:type="dxa"/>
        <w:jc w:val="left"/>
        <w:tblInd w:w="-998.0" w:type="dxa"/>
        <w:tblLayout w:type="fixed"/>
        <w:tblLook w:val="0000"/>
      </w:tblPr>
      <w:tblGrid>
        <w:gridCol w:w="3638"/>
        <w:gridCol w:w="3639"/>
        <w:gridCol w:w="3639"/>
        <w:tblGridChange w:id="0">
          <w:tblGrid>
            <w:gridCol w:w="3638"/>
            <w:gridCol w:w="3639"/>
            <w:gridCol w:w="3639"/>
          </w:tblGrid>
        </w:tblGridChange>
      </w:tblGrid>
      <w:tr>
        <w:trPr>
          <w:cantSplit w:val="0"/>
          <w:trHeight w:val="501" w:hRule="atLeast"/>
          <w:tblHeader w:val="0"/>
        </w:trPr>
        <w:tc>
          <w:tcPr>
            <w:shd w:fill="auto" w:val="clear"/>
            <w:vAlign w:val="center"/>
          </w:tcPr>
          <w:p w:rsidR="00000000" w:rsidDel="00000000" w:rsidP="00000000" w:rsidRDefault="00000000" w:rsidRPr="00000000" w14:paraId="00000054">
            <w:pPr>
              <w:jc w:val="center"/>
              <w:rPr>
                <w:rFonts w:ascii="Rockwell" w:cs="Rockwell" w:eastAsia="Rockwell" w:hAnsi="Rockwell"/>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55">
            <w:pPr>
              <w:jc w:val="center"/>
              <w:rPr>
                <w:rFonts w:ascii="Rockwell" w:cs="Rockwell" w:eastAsia="Rockwell" w:hAnsi="Rockwell"/>
              </w:rPr>
            </w:pPr>
            <w:r w:rsidDel="00000000" w:rsidR="00000000" w:rsidRPr="00000000">
              <w:rPr>
                <w:rFonts w:ascii="Rockwell" w:cs="Rockwell" w:eastAsia="Rockwell" w:hAnsi="Rockwell"/>
                <w:rtl w:val="0"/>
              </w:rPr>
              <w:t xml:space="preserve">Elaborado por</w:t>
            </w:r>
          </w:p>
          <w:p w:rsidR="00000000" w:rsidDel="00000000" w:rsidP="00000000" w:rsidRDefault="00000000" w:rsidRPr="00000000" w14:paraId="00000056">
            <w:pPr>
              <w:jc w:val="center"/>
              <w:rPr>
                <w:rFonts w:ascii="Rockwell" w:cs="Rockwell" w:eastAsia="Rockwell" w:hAnsi="Rockwell"/>
              </w:rPr>
            </w:pPr>
            <w:r w:rsidDel="00000000" w:rsidR="00000000" w:rsidRPr="00000000">
              <w:rPr>
                <w:rFonts w:ascii="Rockwell" w:cs="Rockwell" w:eastAsia="Rockwell" w:hAnsi="Rockwell"/>
                <w:sz w:val="18"/>
                <w:szCs w:val="18"/>
                <w:rtl w:val="0"/>
              </w:rPr>
              <w:t xml:space="preserve">(Nombre y apellido)</w:t>
            </w:r>
            <w:r w:rsidDel="00000000" w:rsidR="00000000" w:rsidRPr="00000000">
              <w:rPr>
                <w:rtl w:val="0"/>
              </w:rPr>
            </w:r>
          </w:p>
        </w:tc>
        <w:tc>
          <w:tcPr>
            <w:shd w:fill="auto" w:val="clear"/>
            <w:vAlign w:val="center"/>
          </w:tcPr>
          <w:p w:rsidR="00000000" w:rsidDel="00000000" w:rsidP="00000000" w:rsidRDefault="00000000" w:rsidRPr="00000000" w14:paraId="00000057">
            <w:pPr>
              <w:jc w:val="center"/>
              <w:rPr>
                <w:rFonts w:ascii="Rockwell" w:cs="Rockwell" w:eastAsia="Rockwell" w:hAnsi="Rockwell"/>
              </w:rPr>
            </w:pPr>
            <w:r w:rsidDel="00000000" w:rsidR="00000000" w:rsidRPr="00000000">
              <w:rPr>
                <w:rtl w:val="0"/>
              </w:rPr>
            </w:r>
          </w:p>
        </w:tc>
      </w:tr>
    </w:tbl>
    <w:p w:rsidR="00000000" w:rsidDel="00000000" w:rsidP="00000000" w:rsidRDefault="00000000" w:rsidRPr="00000000" w14:paraId="00000058">
      <w:pPr>
        <w:rPr>
          <w:rFonts w:ascii="Rockwell" w:cs="Rockwell" w:eastAsia="Rockwell" w:hAnsi="Rockwell"/>
        </w:rPr>
      </w:pPr>
      <w:r w:rsidDel="00000000" w:rsidR="00000000" w:rsidRPr="00000000">
        <w:rPr>
          <w:rFonts w:ascii="Rockwell" w:cs="Rockwell" w:eastAsia="Rockwell" w:hAnsi="Rockwell"/>
          <w:rtl w:val="0"/>
        </w:rPr>
        <w:t xml:space="preserve">  </w:t>
      </w:r>
    </w:p>
    <w:sectPr>
      <w:headerReference r:id="rId7" w:type="default"/>
      <w:footerReference r:id="rId8" w:type="default"/>
      <w:pgSz w:h="15840" w:w="12240" w:orient="portrait"/>
      <w:pgMar w:bottom="1417" w:top="1417" w:left="1701" w:right="1041" w:header="510" w:footer="5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MS Gothic"/>
  <w:font w:name="Times New Roman"/>
  <w:font w:name="Calibri"/>
  <w:font w:name="Rockwel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419"/>
        <w:tab w:val="right" w:leader="none" w:pos="8838"/>
      </w:tabs>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Página </w:t>
    </w:r>
    <w:r w:rsidDel="00000000" w:rsidR="00000000" w:rsidRPr="00000000">
      <w:rPr>
        <w:rFonts w:ascii="Calibri" w:cs="Calibri" w:eastAsia="Calibri" w:hAnsi="Calibri"/>
        <w:b w:val="1"/>
        <w:bCs w:val="1"/>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rtl w:val="0"/>
      </w:rPr>
      <w:t xml:space="preserve"> de </w:t>
    </w:r>
    <w:r w:rsidDel="00000000" w:rsidR="00000000" w:rsidRPr="00000000">
      <w:rPr>
        <w:rFonts w:ascii="Calibri" w:cs="Calibri" w:eastAsia="Calibri" w:hAnsi="Calibri"/>
        <w:b w:val="1"/>
        <w:bCs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419"/>
        <w:tab w:val="right" w:leader="none" w:pos="8838"/>
      </w:tabs>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419"/>
        <w:tab w:val="right" w:leader="none" w:pos="8838"/>
        <w:tab w:val="left" w:leader="none" w:pos="5387"/>
        <w:tab w:val="left" w:leader="none" w:pos="8931"/>
      </w:tabs>
      <w:rPr>
        <w:rFonts w:ascii="Rockwell" w:cs="Rockwell" w:eastAsia="Rockwell" w:hAnsi="Rockwell"/>
        <w:b w:val="1"/>
        <w:bCs w:val="1"/>
        <w:color w:val="545456"/>
        <w:sz w:val="22"/>
        <w:szCs w:val="22"/>
      </w:rPr>
    </w:pPr>
    <w:r w:rsidDel="00000000" w:rsidR="00000000" w:rsidRPr="00000000">
      <w:rPr>
        <w:rFonts w:ascii="Rockwell" w:cs="Rockwell" w:eastAsia="Rockwell" w:hAnsi="Rockwell"/>
        <w:b w:val="1"/>
        <w:bCs w:val="1"/>
        <w:color w:val="545456"/>
        <w:sz w:val="22"/>
        <w:szCs w:val="22"/>
        <w:rtl w:val="0"/>
      </w:rPr>
      <w:t xml:space="preserve">                                                                                                                               Formulario de Informe</w:t>
    </w:r>
    <w:r w:rsidDel="00000000" w:rsidR="00000000" w:rsidRPr="00000000">
      <w:drawing>
        <wp:anchor allowOverlap="1" behindDoc="1" distB="0" distT="0" distL="0" distR="0" hidden="0" layoutInCell="1" locked="0" relativeHeight="0" simplePos="0">
          <wp:simplePos x="0" y="0"/>
          <wp:positionH relativeFrom="column">
            <wp:posOffset>-422897</wp:posOffset>
          </wp:positionH>
          <wp:positionV relativeFrom="paragraph">
            <wp:posOffset>-126353</wp:posOffset>
          </wp:positionV>
          <wp:extent cx="1600200" cy="533400"/>
          <wp:effectExtent b="0" l="0" r="0" t="0"/>
          <wp:wrapNone/>
          <wp:docPr descr="transparente_version2" id="1" name="image1.png"/>
          <a:graphic>
            <a:graphicData uri="http://schemas.openxmlformats.org/drawingml/2006/picture">
              <pic:pic>
                <pic:nvPicPr>
                  <pic:cNvPr descr="transparente_version2" id="0" name="image1.png"/>
                  <pic:cNvPicPr preferRelativeResize="0"/>
                </pic:nvPicPr>
                <pic:blipFill>
                  <a:blip r:embed="rId1"/>
                  <a:srcRect b="0" l="0" r="0" t="0"/>
                  <a:stretch>
                    <a:fillRect/>
                  </a:stretch>
                </pic:blipFill>
                <pic:spPr>
                  <a:xfrm>
                    <a:off x="0" y="0"/>
                    <a:ext cx="1600200" cy="533400"/>
                  </a:xfrm>
                  <a:prstGeom prst="rect"/>
                  <a:ln/>
                </pic:spPr>
              </pic:pic>
            </a:graphicData>
          </a:graphic>
        </wp:anchor>
      </w:drawing>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419"/>
        <w:tab w:val="right" w:leader="none" w:pos="8838"/>
        <w:tab w:val="right" w:leader="none" w:pos="8789"/>
        <w:tab w:val="left" w:leader="none" w:pos="8931"/>
      </w:tabs>
      <w:jc w:val="right"/>
      <w:rPr>
        <w:rFonts w:ascii="Rockwell" w:cs="Rockwell" w:eastAsia="Rockwell" w:hAnsi="Rockwell"/>
        <w:color w:val="545456"/>
        <w:sz w:val="20"/>
        <w:szCs w:val="20"/>
      </w:rPr>
    </w:pPr>
    <w:r w:rsidDel="00000000" w:rsidR="00000000" w:rsidRPr="00000000">
      <w:rPr>
        <w:rFonts w:ascii="Rockwell" w:cs="Rockwell" w:eastAsia="Rockwell" w:hAnsi="Rockwell"/>
        <w:color w:val="545456"/>
        <w:sz w:val="20"/>
        <w:szCs w:val="20"/>
        <w:rtl w:val="0"/>
      </w:rPr>
      <w:t xml:space="preserve">DPD-FO-013</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419"/>
        <w:tab w:val="right" w:leader="none" w:pos="8838"/>
        <w:tab w:val="right" w:leader="none" w:pos="8789"/>
        <w:tab w:val="left" w:leader="none" w:pos="8931"/>
      </w:tabs>
      <w:jc w:val="right"/>
      <w:rPr>
        <w:rFonts w:ascii="Rockwell" w:cs="Rockwell" w:eastAsia="Rockwell" w:hAnsi="Rockwell"/>
        <w:color w:val="545456"/>
        <w:sz w:val="20"/>
        <w:szCs w:val="20"/>
      </w:rPr>
    </w:pPr>
    <w:r w:rsidDel="00000000" w:rsidR="00000000" w:rsidRPr="00000000">
      <w:rPr>
        <w:rFonts w:ascii="Rockwell" w:cs="Rockwell" w:eastAsia="Rockwell" w:hAnsi="Rockwell"/>
        <w:color w:val="545456"/>
        <w:sz w:val="20"/>
        <w:szCs w:val="20"/>
        <w:rtl w:val="0"/>
      </w:rPr>
      <w:t xml:space="preserve">Fecha de Aprobación: 20/2/2023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zXZJSq5vCXo2J4ZfxnnOTVF3kA==">CgMxLjAyCGguZ2pkZ3hzMg5oLnVjMnF6Yms4aXc5ODIJaC4zMGowemxsMg5oLjc4Mmo2NTZ2anVqaTIOaC5taTYzOGQzMHo2ZXc4AHIhMURHQTF2REhMZzFJNDgtc0VVTmktMU55bkE3eFdqcnlZ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0x0101000FBBAE96B2A1564E920D823C0288C131</vt:lpwstr>
  </property>
  <property fmtid="{D5CDD505-2E9C-101B-9397-08002B2CF9AE}" pid="3" name="MediaServiceImageTags">
    <vt:lpwstr>MediaServiceImageTags</vt:lpwstr>
  </property>
</Properties>
</file>